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Calcium-44 SDS</w:t>
      </w:r>
    </w:p>
    <w:p>
      <w:r>
        <w:t xml:space="preserve">Publisher: Neonest AB</w:t>
      </w:r>
    </w:p>
    <w:p>
      <w:r>
        <w:t xml:space="preserve">Source: https://resds.com/document/calcium-44-sds-ca-44-fcd6ab346a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Carbonate.</w:t>
      </w:r>
    </w:p>
    <w:p>
      <w:r>
        <w:t xml:space="preserve">Molecular weight: 100.0869</w:t>
      </w:r>
    </w:p>
    <w:p>
      <w:r>
        <w:t xml:space="preserve">Chemical formula: CaCO3</w:t>
      </w:r>
    </w:p>
    <w:p>
      <w:r>
        <w:t xml:space="preserve">Synonyms: Carbonic acid calcium salt, calcite, aragonite, limestone.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 % by weight                EC1272/2008</w:t>
      </w:r>
    </w:p>
    <w:p>
      <w:r>
        <w:t xml:space="preserve">                                            471-34-1</w:t>
      </w:r>
    </w:p>
    <w:p>
      <w:r>
        <w:t xml:space="preserve"> Calcium Carbonate                                                100.0869              &gt;99%                   Not Classified.</w:t>
      </w:r>
    </w:p>
    <w:p>
      <w:r>
        <w:t xml:space="preserve">                                           207-439-9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Excessive concentrations of a nuisance dust may cause nuisance condition such as coughing, sneezing, and</w:t>
      </w:r>
    </w:p>
    <w:p>
      <w:r>
        <w:t xml:space="preserve">nasal irritation.</w:t>
      </w:r>
    </w:p>
    <w:p>
      <w:r>
        <w:t xml:space="preserve">Eyes: No information found, but presumed to cause mechanical irritation.</w:t>
      </w:r>
    </w:p>
    <w:p>
      <w:r>
        <w:t xml:space="preserve">Skin contact: Not expected to be a health hazard from skin exposure.</w:t>
      </w:r>
    </w:p>
    <w:p>
      <w:r>
        <w:t xml:space="preserve">Ingestion: Non-toxic. Excessive oral doses of calcium carbonate may produce alkalosis and hypercalcemia.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Formation of toxic gases is possible during heating or in case of fire.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 and heavy rubber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spilled material and store in a suitable container for disposal. Avoid raising dust.</w:t>
      </w:r>
    </w:p>
    <w:p>
      <w:r>
        <w:t xml:space="preserve">Ventilate area and 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Keep container tightly sealed. Store in cool, dry place in tightly closed containers. Ensure</w:t>
      </w:r>
    </w:p>
    <w:p>
      <w:r>
        <w:t xml:space="preserve">good ventilation at the workplace.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          15 mg/m3 total dust, 5 mg/m3 respirable fraction for nuisance dusts</w:t>
      </w:r>
    </w:p>
    <w:p>
      <w:r>
        <w:t xml:space="preserve">ACGIH Threshold Limit Value (TLV) for          3 mg/m3 respirable particles and 10 mg/m3 inhalable particles</w:t>
      </w:r>
    </w:p>
    <w:p>
      <w:r>
        <w:t xml:space="preserve">Particulates (Insoluble or Poorly</w:t>
      </w:r>
    </w:p>
    <w:p>
      <w:r>
        <w:t xml:space="preserve">Soluble)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If the exposure limit is exceeded and engineering controls are not feasible, a half-face piece</w:t>
      </w:r>
    </w:p>
    <w:p>
      <w:r>
        <w:t xml:space="preserve">particulate respirator (NIOSH type N95 or better filters)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particulate respirator (NIOSH type N100 filters) may be worn up to 50 times the exposure</w:t>
      </w:r>
    </w:p>
    <w:p>
      <w:r>
        <w:t xml:space="preserve">limit, or the maximum use concentration specified by the appropriate regulatory agency, or respirator supplier,</w:t>
      </w:r>
    </w:p>
    <w:p>
      <w:r>
        <w:t xml:space="preserve">whichever is lowest.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100.0869</w:t>
      </w:r>
    </w:p>
    <w:p>
      <w:r>
        <w:t xml:space="preserve">pH (concentration): No data available.</w:t>
      </w:r>
    </w:p>
    <w:p>
      <w:r>
        <w:t xml:space="preserve">Melting point/range (°C): 825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2.7 – 2.95</w:t>
      </w:r>
    </w:p>
    <w:p>
      <w:r>
        <w:t xml:space="preserve">Water solubility (g/L) at 20 °C: 0.001 gm in 100 ml water, soluble in dilute acids.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Avoid exposure to high temperatures.</w:t>
      </w:r>
    </w:p>
    <w:p>
      <w:r>
        <w:t xml:space="preserve">Incompatible materials: Acids, fluorine, magnesium with hydrogen.</w:t>
      </w:r>
    </w:p>
    <w:p>
      <w:r>
        <w:t xml:space="preserve">Hazardous decomposition products: When heated to decomposition (825°C), emits calcium oxide fumes and liberates</w:t>
      </w:r>
    </w:p>
    <w:p>
      <w:r>
        <w:t xml:space="preserve">carbon dioxide.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Irritation of Skin: Moderate, 500 mg/24H (rbt). Irritant to skin and mucous membranes.</w:t>
      </w:r>
    </w:p>
    <w:p>
      <w:r>
        <w:t xml:space="preserve">Irritation of Eyes: Severe, 750 ug/24H (rbt). Has an irritating effect on the eyes.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This chemical is expected to cause no oxygen depletion in aquatic systems. It has a low potential to affect</w:t>
      </w:r>
    </w:p>
    <w:p>
      <w:r>
        <w:t xml:space="preserve">aquatic organisms. Acute aquatic effects: 48-hour LC50 - Mosquito fish – 56,000 mg/L.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container and unused contents in 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Calcium</w:t>
      </w:r>
    </w:p>
    <w:p>
      <w:r>
        <w:t xml:space="preserve">                                                                          Carbonate, Enriched Calcium Carbonate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Carbonate, Enriched Calcium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>Massachusetts Right to Know Components: No components are subject to the Massachusetts Right to Know Act</w:t>
      </w:r>
    </w:p>
    <w:p>
      <w:r>
        <w:t xml:space="preserve">Pennsylvania Right to Know Components: Calcium carbonate / CAS No. 471-34-1</w:t>
      </w:r>
    </w:p>
    <w:p>
      <w:r>
        <w:t xml:space="preserve">New Jersey Right to Know Components: Calcium carbonate / CAS No. 471-34-1</w:t>
      </w:r>
    </w:p>
    <w:p>
      <w:r>
        <w:t xml:space="preserve">Minnesota Right to Know Components: Calcium carbonate / CAS No. 471-34-1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TSCA: CAS No. 471-34-1 is listed on the TSCA inventory; however, none of the chemicals in this material has a SNUR</w:t>
      </w:r>
    </w:p>
    <w:p>
      <w:r>
        <w:t xml:space="preserve">under TSCA.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is listed as Hazardous Substances, Priority Pollutants or Toxic</w:t>
      </w:r>
    </w:p>
    <w:p>
      <w:r>
        <w:t xml:space="preserve">Pollutants under the CWA.</w:t>
      </w:r>
    </w:p>
    <w:p>
      <w:r>
        <w:t xml:space="preserve">International Regulations:</w:t>
      </w:r>
    </w:p>
    <w:p>
      <w:r>
        <w:t xml:space="preserve">EC Directives: Hazard Symbols: XI</w:t>
      </w:r>
    </w:p>
    <w:p>
      <w:r>
        <w:t xml:space="preserve">Risk Phrases: R36 – Irritating to eyes</w:t>
      </w:r>
    </w:p>
    <w:p>
      <w:r>
        <w:t xml:space="preserve">Safety Phrases: S26 – In case of contact with eyes, rinse immediately with plenty of water and seek medical advice.</w:t>
      </w:r>
    </w:p>
    <w:p>
      <w:r>
        <w:t xml:space="preserve">S39 – Wear eye/face protection.</w:t>
      </w:r>
    </w:p>
    <w:p>
      <w:r>
        <w:t xml:space="preserve">WGK: CAS No. 471-34-1: 0</w:t>
      </w:r>
    </w:p>
    <w:p>
      <w:r>
        <w:t xml:space="preserve">Canada – DSL/NDSL: CAS No. 471-34-1 is listed on Canada’s DSL list.</w:t>
      </w:r>
    </w:p>
    <w:p>
      <w:r>
        <w:t xml:space="preserve">Canada – WHMIS: This material has a WHMIS classification of D2B. It has been classified in accordance with the</w:t>
      </w:r>
    </w:p>
    <w:p>
      <w:r>
        <w:t xml:space="preserve">hazard criteria of the Controlled Products Regulations, and the SDS contains all of the information required by those</w:t>
      </w:r>
    </w:p>
    <w:p>
      <w:r>
        <w:t xml:space="preserve">regulations.</w:t>
      </w:r>
    </w:p>
    <w:p>
      <w:r>
        <w:t xml:space="preserve">Canadian Ingredient Disclosure List: CAS No. 471-34-1 is not listed.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9/9</w:t>
      </w:r>
    </w:p>
    <w:sectPr>
      <w:pgSz w:w="11906" w:h="16838"/>
      <w:pgMar w:top="1134" w:right="1134" w:bottom="1134" w:left="1134"/>
    </w:sectPr>
  </w:body>
</w:document>
</file>