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Platinum-196 SDS</w:t>
      </w:r>
    </w:p>
    <w:p>
      <w:r>
        <w:t xml:space="preserve">Publisher: Neonest AB</w:t>
      </w:r>
    </w:p>
    <w:p>
      <w:r>
        <w:t xml:space="preserve">Source: https://resds.com/document/cisplatin-enriched-cisplatin-sds-aedb49602c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Cisplatin, Enriched Cisplatin. </w:t>
      </w:r>
    </w:p>
    <w:p>
      <w:r>
        <w:t xml:space="preserve">Molecular weight:   300.05 </w:t>
      </w:r>
    </w:p>
    <w:p>
      <w:r>
        <w:t xml:space="preserve">Chemical formula:   Pt(NH 3 ) 2 Cl 2 </w:t>
      </w:r>
    </w:p>
    <w:p>
      <w:r>
        <w:t xml:space="preserve">Synonyms:   cis-Diammineplatinum(II) dichloride, Cisplatinum, cis-Dichlorodiammine platinum(II), cis-Platinum(II)</w:t>
      </w:r>
    </w:p>
    <w:p>
      <w:r>
        <w:t xml:space="preserve">diammine dichloride.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 (Category 2)   H300 </w:t>
      </w:r>
    </w:p>
    <w:p>
      <w:r>
        <w:t xml:space="preserve">Eye Damage (Category 1)   H318 </w:t>
      </w:r>
    </w:p>
    <w:p>
      <w:r>
        <w:t xml:space="preserve">Carcinogenic (Category 1B)   H350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H318 Causes serious eye damage. </w:t>
      </w:r>
    </w:p>
    <w:p>
      <w:r>
        <w:t xml:space="preserve">H350 May cause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P264 Wash hands thoroughly after handling.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protection/face protection. </w:t>
      </w:r>
    </w:p>
    <w:p>
      <w:r>
        <w:t xml:space="preserve">P301 + P310 IF SWALLOWED: Immediately call a POISON CENTER/doctor.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P330 Rinse mouth.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Cisplatin </w:t>
      </w:r>
    </w:p>
    <w:p>
      <w:r>
        <w:t xml:space="preserve">15663-27-1 </w:t>
      </w:r>
    </w:p>
    <w:p>
      <w:r>
        <w:t xml:space="preserve">300.05   &gt;99% </w:t>
      </w:r>
    </w:p>
    <w:p>
      <w:r>
        <w:t xml:space="preserve">Acute Tox. 2   H300 </w:t>
      </w:r>
    </w:p>
    <w:p>
      <w:r>
        <w:t xml:space="preserve">Eye Dam. 1   H318</w:t>
      </w:r>
    </w:p>
    <w:p>
      <w:r>
        <w:t xml:space="preserve">Carc. 1B   H350 239-733-8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Consult a physician. Show this safety data sheet to the doctor in attendance. </w:t>
      </w:r>
    </w:p>
    <w:p>
      <w:r>
        <w:t xml:space="preserve">If inhaled:   If breathed in, move person into fresh air. If not breathing, give artificial respiration. Consult a physician. </w:t>
      </w:r>
    </w:p>
    <w:p>
      <w:r>
        <w:t xml:space="preserve">In case of skin contact:   Wash off with soap and plenty of water. Take victim immediately to hospital. Consult a</w:t>
      </w:r>
    </w:p>
    <w:p>
      <w:r>
        <w:t xml:space="preserve">physician. </w:t>
      </w:r>
    </w:p>
    <w:p>
      <w:r>
        <w:t xml:space="preserve">In case of eye contact:   Rinse thoroughly with plenty of water for at least 15 minutes and consult a physician. </w:t>
      </w:r>
    </w:p>
    <w:p>
      <w:r>
        <w:t xml:space="preserve">If swallowed:   Never give anything by mouth to an unconscious person. Rinse mouth with water. Consult a physician. </w:t>
      </w:r>
    </w:p>
    <w:p>
      <w:r>
        <w:t xml:space="preserve">Most important symptoms and effects, both acute and delayed: </w:t>
      </w:r>
    </w:p>
    <w:p>
      <w:r>
        <w:t xml:space="preserve">The most important known symptoms and effects are described in the labelling (see section 2.2) and/or in section 11.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Nitrogen oxides (NOx), Hydrogen chloride gas.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No data available.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respiratory protection. Avoid dust formation. Avoid breathing vapours, mist or gas.</w:t>
      </w:r>
    </w:p>
    <w:p>
      <w:r>
        <w:t xml:space="preserve">Ensure adequate ventilation. Evacuate personnel to safe areas. Avoid breathing dust. </w:t>
      </w:r>
    </w:p>
    <w:p>
      <w:r>
        <w:t xml:space="preserve">Environmental precautions:   Prevent further leakage or spillage if safe to do so. Do not let product enter drains. </w:t>
      </w:r>
    </w:p>
    <w:p>
      <w:r>
        <w:t xml:space="preserve">Methods for containment and cleaning up: </w:t>
      </w:r>
    </w:p>
    <w:p>
      <w:r>
        <w:t xml:space="preserve">Pick up and arrange disposal without creating dust. Sweep up and shovel.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For disposal see section 13.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Avoid exposure -</w:t>
      </w:r>
    </w:p>
    <w:p>
      <w:r>
        <w:t xml:space="preserve">obtain special instructions before use.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Store in cool place. Keep container tightly closed in a dry and well-ventilated place. Recommended storage</w:t>
      </w:r>
    </w:p>
    <w:p>
      <w:r>
        <w:t xml:space="preserve">temperature 2 -   8 °C. Storage class (TRGS 510): Combustible solids, toxic. </w:t>
      </w:r>
    </w:p>
    <w:p>
      <w:r>
        <w:t xml:space="preserve">Specific end use(s):   Apart from the uses mentioned in section 1.2 no other specific uses are stipulated.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No data available. </w:t>
      </w:r>
    </w:p>
    <w:p>
      <w:r>
        <w:t xml:space="preserve">Exposure controls: </w:t>
      </w:r>
    </w:p>
    <w:p>
      <w:r>
        <w:t xml:space="preserve">Appropriate engineering controls:   Avoid contact with skin, eyes and clothing. Wash hands before breaks and</w:t>
      </w:r>
    </w:p>
    <w:p>
      <w:r>
        <w:t xml:space="preserve">immediately after handling the product.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 Use equipment for eye protection tested and approved under</w:t>
      </w:r>
    </w:p>
    <w:p>
      <w:r>
        <w:rPr>
          <w:b/>
        </w:rPr>
        <w:t xml:space="preserve">Page 4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4/9 </w:t>
      </w:r>
    </w:p>
    <w:p>
      <w:r>
        <w:t xml:space="preserve">appropriate government standards such as NIOSH (US) or EN 166(EU). </w:t>
      </w:r>
    </w:p>
    <w:p>
      <w:r>
        <w:t xml:space="preserve">Skin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The selected protective</w:t>
      </w:r>
    </w:p>
    <w:p>
      <w:r>
        <w:t xml:space="preserve">gloves have to satisfy the specifications of EU Directive 89/686/EEC and the standard EN 374 derived from it. </w:t>
      </w:r>
    </w:p>
    <w:p>
      <w:r>
        <w:t xml:space="preserve">Body Protection:   Complete suit protecting against chemicals,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(EN 143) respirator </w:t>
      </w:r>
    </w:p>
    <w:p>
      <w:r>
        <w:t xml:space="preserve">cartridges as a backup to engineering controls. If the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Control of environmental exposure:   Prevent further leakage or spillage if safe to do so. Do not let product enter</w:t>
      </w:r>
    </w:p>
    <w:p>
      <w:r>
        <w:t xml:space="preserve">drains.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Yellow.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300.05 </w:t>
      </w:r>
    </w:p>
    <w:p>
      <w:r>
        <w:t xml:space="preserve">pH (concentration):   No data available. </w:t>
      </w:r>
    </w:p>
    <w:p>
      <w:r>
        <w:t xml:space="preserve">Melting point/range (° C):   270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Not applicable.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3.7 g/cm 3 </w:t>
      </w:r>
    </w:p>
    <w:p>
      <w:r>
        <w:t xml:space="preserve">Water solubility (g/L ) at 20 ° C:   &lt;0.1 g/100 mL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conditions. </w:t>
      </w:r>
    </w:p>
    <w:p>
      <w:r>
        <w:t xml:space="preserve">Possibility of hazardous reactions:   No data available. </w:t>
      </w:r>
    </w:p>
    <w:p>
      <w:r>
        <w:t xml:space="preserve">Conditions to avoid:   No data available.</w:t>
      </w:r>
    </w:p>
    <w:p>
      <w:r>
        <w:rPr>
          <w:b/>
        </w:rPr>
        <w:t xml:space="preserve">Page 5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5/9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conditions: Nitrogen</w:t>
      </w:r>
    </w:p>
    <w:p>
      <w:r>
        <w:t xml:space="preserve">oxides (NOx), Hydrogen chloride gas.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LD50 Oral - Rat - 25.8 mg/kg (Cisplatin)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Prolonged or repeated exposure may cause allergic reactions in certain sensitive individuals.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Possible human carcinogen.   IARC: 2A   -   Group 2A: Probably carcinogenic to humans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 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   as   chemical   safety   assessment   not</w:t>
      </w:r>
    </w:p>
    <w:p>
      <w:r>
        <w:t xml:space="preserve">required/not conducted.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Offer surplus and non-recyclable solutions to a licensed disposal company. Dissolve or mix the material with</w:t>
      </w:r>
    </w:p>
    <w:p>
      <w:r>
        <w:t xml:space="preserve">a combustible solvent and burn in a chem scrubber. </w:t>
      </w:r>
    </w:p>
    <w:p>
      <w:r>
        <w:t xml:space="preserve">Contaminated packaging:   Dispose of as unused product.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6/9 </w:t>
      </w:r>
    </w:p>
    <w:p>
      <w:r>
        <w:t xml:space="preserve">ADR/RID: </w:t>
      </w:r>
    </w:p>
    <w:p>
      <w:r>
        <w:t xml:space="preserve">Proper Shipping Name:   TOXIC SOLID, INORGANIC, N.O.S. (Cisplatin). </w:t>
      </w:r>
    </w:p>
    <w:p>
      <w:r>
        <w:t xml:space="preserve">Hazard Class : 6.1 </w:t>
      </w:r>
    </w:p>
    <w:p>
      <w:r>
        <w:t xml:space="preserve">Hazard Label: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IATA: </w:t>
      </w:r>
    </w:p>
    <w:p>
      <w:r>
        <w:t xml:space="preserve">Proper Shipping Name:   TOXIC SOLID, INORGANIC, N.O.S. (Cisplatin).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IMDG: </w:t>
      </w:r>
    </w:p>
    <w:p>
      <w:r>
        <w:t xml:space="preserve">Proper Shipping Name:   TOXIC SOLID, INORGANIC, N.O.S. (Cisplatin).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7/9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Chemical safety assessment:   No Chemical Safety Assessment has been carried out. </w:t>
      </w:r>
    </w:p>
    <w:p>
      <w:r>
        <w:t xml:space="preserve">Section 16: Other  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</w:t>
      </w:r>
    </w:p>
    <w:p>
      <w:r>
        <w:rPr>
          <w:b/>
        </w:rPr>
        <w:t xml:space="preserve">Page 8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8/9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</w:t>
      </w:r>
    </w:p>
    <w:p>
      <w:r>
        <w:rPr>
          <w:b/>
        </w:rPr>
        <w:t xml:space="preserve">Page 9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9/9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 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H318 Causes serious eye damage. </w:t>
      </w:r>
    </w:p>
    <w:p>
      <w:r>
        <w:t xml:space="preserve">H350 May cause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