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Copper-63 SDS</w:t>
      </w:r>
    </w:p>
    <w:p>
      <w:r>
        <w:t xml:space="preserve">Publisher: Neonest AB</w:t>
      </w:r>
    </w:p>
    <w:p>
      <w:r>
        <w:t xml:space="preserve">Source: https://resds.com/document/copper-63-isotope-sds-cu-63-63cu-copper-ii-oxide-enriched-copper-ii-oxide-1922f7944e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Copper (II) Oxide, Enriched Copper (II) Oxide. </w:t>
      </w:r>
    </w:p>
    <w:p>
      <w:r>
        <w:t xml:space="preserve">Molecular weight:   79.545 </w:t>
      </w:r>
    </w:p>
    <w:p>
      <w:r>
        <w:t xml:space="preserve">Chemical formula:   CuO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2/9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Copper oxide </w:t>
      </w:r>
    </w:p>
    <w:p>
      <w:r>
        <w:t xml:space="preserve">1317-38-0</w:t>
      </w:r>
    </w:p>
    <w:p>
      <w:r>
        <w:t xml:space="preserve">1344-70-3   79.545   &gt;99%   Aquatic Acute 1   H400 </w:t>
      </w:r>
    </w:p>
    <w:p>
      <w:r>
        <w:t xml:space="preserve">Aquatic Chronic 1H410 </w:t>
      </w:r>
    </w:p>
    <w:p>
      <w:r>
        <w:t xml:space="preserve">215-269-1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person to fresh air, keep warm and quiet, give oxygen if breathing is difficult, and seek</w:t>
      </w:r>
    </w:p>
    <w:p>
      <w:r>
        <w:t xml:space="preserve">medical attention if symptoms persist. </w:t>
      </w:r>
    </w:p>
    <w:p>
      <w:r>
        <w:t xml:space="preserve">In case of skin contact:   Remove any contaminated clothing, brush material off skin, flush with running water, and</w:t>
      </w:r>
    </w:p>
    <w:p>
      <w:r>
        <w:t xml:space="preserve">wash carefully with soap and water. Seek medical attention if symptoms persist. </w:t>
      </w:r>
    </w:p>
    <w:p>
      <w:r>
        <w:t xml:space="preserve">In case of eye contact:   Flush eyes with lukewarm water, lifting upper and lower eyelids, for at least 15 minutes. Seek</w:t>
      </w:r>
    </w:p>
    <w:p>
      <w:r>
        <w:t xml:space="preserve">medical attention if symptoms persist. </w:t>
      </w:r>
    </w:p>
    <w:p>
      <w:r>
        <w:t xml:space="preserve">In case of ingestion:   Give 1-2 glasses of milk or water and induce vomiting; seek immediate medical attention. Never</w:t>
      </w:r>
    </w:p>
    <w:p>
      <w:r>
        <w:t xml:space="preserve">induce vomiting or give anything by mouth to an unconscious person.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Toxic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suitable extinguishing media for surrounding material and type of fire.</w:t>
      </w:r>
    </w:p>
    <w:p>
      <w:r>
        <w:rPr>
          <w:b/>
        </w:rPr>
        <w:t xml:space="preserve">Page 3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3/9 </w:t>
      </w:r>
    </w:p>
    <w:p>
      <w:r>
        <w:t xml:space="preserve">Unsuitable extinguishing media:   None known. </w:t>
      </w:r>
    </w:p>
    <w:p>
      <w:r>
        <w:t xml:space="preserve">Special hazards arising from the mixture:   May ignite on contact with dichloromethylsilane, hydrogen sulphide or</w:t>
      </w:r>
    </w:p>
    <w:p>
      <w:r>
        <w:t xml:space="preserve">hydrogen trisulfide. May react violently with hydrazine, PN2H, titanium or zirconium. May have a violent exothermic</w:t>
      </w:r>
    </w:p>
    <w:p>
      <w:r>
        <w:t xml:space="preserve">reaction with boron when heated. May explode when heated with powdered alu mini m   ani ini m   er   orate</w:t>
      </w:r>
    </w:p>
    <w:p>
      <w:r>
        <w:t xml:space="preserve">rogen or   t a i   an   ri e   a   e   o e at   C with cesium acetylene carbide.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vapors, mist or gas.</w:t>
      </w:r>
    </w:p>
    <w:p>
      <w:r>
        <w:t xml:space="preserve">Ensure adequate ventilation. Avoid breathing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Sweep up and shovel. Keep in suitable,</w:t>
      </w:r>
    </w:p>
    <w:p>
      <w:r>
        <w:t xml:space="preserve">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or aerosols. Provide appropriate</w:t>
      </w:r>
    </w:p>
    <w:p>
      <w:r>
        <w:t xml:space="preserve">exhaust ventilation at places where dust is formed. Implement engineering and work practice controls to reduce and</w:t>
      </w:r>
    </w:p>
    <w:p>
      <w:r>
        <w:t xml:space="preserve">maintain concentration of exposure at low levels. Do not blow dust off clothing or skin with compressed air. Maintain</w:t>
      </w:r>
    </w:p>
    <w:p>
      <w:r>
        <w:t xml:space="preserve">eyewash capable of sustained flushing, safety drench shower and facilities for washing. </w:t>
      </w:r>
    </w:p>
    <w:p>
      <w:r>
        <w:t xml:space="preserve">Hygiene measures:   Do not eat, drink or smoke when using this product. Use good housekeeping and sanitation</w:t>
      </w:r>
    </w:p>
    <w:p>
      <w:r>
        <w:t xml:space="preserve">practices. Do not use tobacco or food in work area.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cool, dry, well-ventilated area. Keep tightly sealed when not</w:t>
      </w:r>
    </w:p>
    <w:p>
      <w:r>
        <w:t xml:space="preserve">in use. </w:t>
      </w:r>
    </w:p>
    <w:p>
      <w:r>
        <w:t xml:space="preserve">Section 8: Exposure Control 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 with side-shields conforming to EN166. Use equipment for eye protection</w:t>
      </w:r>
    </w:p>
    <w:p>
      <w:r>
        <w:t xml:space="preserve">tested and approved under appropriate government standards such as NIOSH (US) or EN166 (EU).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exposures, use type P95 (US) or type P1 (EU EN 143) particle respirator. For</w:t>
      </w:r>
    </w:p>
    <w:p>
      <w:r>
        <w:t xml:space="preserve">higher-level protection,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79.545 </w:t>
      </w:r>
    </w:p>
    <w:p>
      <w:r>
        <w:t xml:space="preserve">pH (concentration):   No data available. </w:t>
      </w:r>
    </w:p>
    <w:p>
      <w:r>
        <w:t xml:space="preserve">Melting point/range (° C):   1326   °C </w:t>
      </w:r>
    </w:p>
    <w:p>
      <w:r>
        <w:t xml:space="preserve">Boiling point/range (° C):   2000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available. </w:t>
      </w:r>
    </w:p>
    <w:p>
      <w:r>
        <w:t xml:space="preserve">Vapour density:   No data available. </w:t>
      </w:r>
    </w:p>
    <w:p>
      <w:r>
        <w:t xml:space="preserve">Relative densi ty (25 ° C):   6.4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  materials:   Cesium   acetylene   carbide,   hydrazine,   PN2H,   titanium,   zirconium,   chloromethylsilane,</w:t>
      </w:r>
    </w:p>
    <w:p>
      <w:r>
        <w:t xml:space="preserve">hydrogen sulphide, hydrogen trisulfide, powdered aluminium, aniline perchlorate, hydrogen magnesium, phthalic</w:t>
      </w:r>
    </w:p>
    <w:p>
      <w:r>
        <w:t xml:space="preserve">anhydride or boron.</w:t>
      </w:r>
    </w:p>
    <w:p>
      <w:r>
        <w:rPr>
          <w:b/>
        </w:rPr>
        <w:t xml:space="preserve">Page 5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5/9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Rat, 470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May cause dermatitis.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,   Oncorhynchus mykiss , 25.4 mg/l, 96 hours. </w:t>
      </w:r>
    </w:p>
    <w:p>
      <w:r>
        <w:t xml:space="preserve">Toxicity to daphnia and other aquatic invertebrates: EC 50   Daphnia magna,   0.011 - 0.039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6/9 </w:t>
      </w:r>
    </w:p>
    <w:p>
      <w:r>
        <w:t xml:space="preserve">IMDG: </w:t>
      </w:r>
    </w:p>
    <w:p>
      <w:r>
        <w:t xml:space="preserve">Proper Shipping Name:   ENVIRONMENTALLY HAZARDOUS SUBSTANCE, SOLID, N.O.S. (Copper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(Copper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</w:t>
      </w:r>
    </w:p>
    <w:p>
      <w:r>
        <w:rPr>
          <w:b/>
        </w:rPr>
        <w:t xml:space="preserve">Page 7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7/9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Copper Oxide, CAS No. 1317-38-0, Revision Date 2007-07-01. </w:t>
      </w:r>
    </w:p>
    <w:p>
      <w:r>
        <w:t xml:space="preserve">SARA 311/312 Hazards:  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Copper Oxide, CAS No. 1317-38-0, Revision Date 2007-07-01. </w:t>
      </w:r>
    </w:p>
    <w:p>
      <w:r>
        <w:t xml:space="preserve">New Jersey Right To Know Components:   Copper Oxide, CAS No. 1317-38-0, Revision Date 2007-07-01.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 r   ngsk assen (German : Water Hazar   C 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