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Copper-65 SDS</w:t>
      </w:r>
    </w:p>
    <w:p>
      <w:r>
        <w:t xml:space="preserve">Publisher: Neonest AB</w:t>
      </w:r>
    </w:p>
    <w:p>
      <w:r>
        <w:t xml:space="preserve">Source: https://resds.com/document/copper-65-isotope-sds-cu-65-65cu-copper-enriched-copper-07f1b8255f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Copper, Enriched Copper. </w:t>
      </w:r>
    </w:p>
    <w:p>
      <w:r>
        <w:t xml:space="preserve">Molecular weight:   63.546 </w:t>
      </w:r>
    </w:p>
    <w:p>
      <w:r>
        <w:t xml:space="preserve">Chemical formula:   Cu </w:t>
      </w:r>
    </w:p>
    <w:p>
      <w:r>
        <w:t xml:space="preserve">Synonyms:   Enriched Copper.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  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</w:t>
      </w:r>
    </w:p>
    <w:p>
      <w:r>
        <w:t xml:space="preserve">7440-50-8 </w:t>
      </w:r>
    </w:p>
    <w:p>
      <w:r>
        <w:t xml:space="preserve">63.546   &gt;99%   Not Classified. </w:t>
      </w:r>
    </w:p>
    <w:p>
      <w:r>
        <w:t xml:space="preserve">231-159-6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Get medical attention if irritation develops or persists.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vomiting. If victim is conscious and alert, give 2-4 cups of milk or water. Get medical</w:t>
      </w:r>
    </w:p>
    <w:p>
      <w:r>
        <w:t xml:space="preserve">attention.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 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</w:t>
      </w:r>
    </w:p>
    <w:p>
      <w:r>
        <w:t xml:space="preserve">Eyes:   Causes eye irritation. </w:t>
      </w:r>
    </w:p>
    <w:p>
      <w:r>
        <w:t xml:space="preserve">Skin contact:   Causes skin irritation. May cause skin discoloration. </w:t>
      </w:r>
    </w:p>
    <w:p>
      <w:r>
        <w:t xml:space="preserve">Ingestion:   Causes gastrointestinal irritation with nausea, vomiting and diarrhoea. May cause liver and kidney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Remove all sources of ignition. Evacuate personnel to safe areas. Use proper personal protective equipment as</w:t>
      </w:r>
    </w:p>
    <w:p>
      <w:r>
        <w:t xml:space="preserve">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then place into a suitable container for disposal. Avoid generating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with adequate ventilation. Minimize dust generation and accumulation. Avoid contact</w:t>
      </w:r>
    </w:p>
    <w:p>
      <w:r>
        <w:t xml:space="preserve">with skin and eyes.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Do not expose to air.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  TWA (fume); 1 mg/m 3   TWA (dusts and mists). </w:t>
      </w:r>
    </w:p>
    <w:p>
      <w:r>
        <w:t xml:space="preserve">NIOSH: as Cu: 1 mg/m 3   TWA (dusts and mists); 0.1 mg/m 3   TWA (fume) dusts as mists as Cu: 100 mg/m 3   IDLH. </w:t>
      </w:r>
    </w:p>
    <w:p>
      <w:r>
        <w:t xml:space="preserve">OSHA: Final PELs: 0.1 mg/m 3   TWA (fume); 1 mg/m 3   TWA (dusts and mists). </w:t>
      </w:r>
    </w:p>
    <w:p>
      <w:r>
        <w:t xml:space="preserve">OSHA: Vacated PELs: 0.1 mg/m 3   TWA (fume, dusts, mists as Cu).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rPr>
          <w:b/>
        </w:rPr>
        <w:t xml:space="preserve">Page 4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Red to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63.546 </w:t>
      </w:r>
    </w:p>
    <w:p>
      <w:r>
        <w:t xml:space="preserve">pH (concentration):   No data available. </w:t>
      </w:r>
    </w:p>
    <w:p>
      <w:r>
        <w:t xml:space="preserve">Melting point/range (° C):   1083   °C </w:t>
      </w:r>
    </w:p>
    <w:p>
      <w:r>
        <w:t xml:space="preserve">Boiling point/range (° C):   2595   °C </w:t>
      </w:r>
    </w:p>
    <w:p>
      <w:r>
        <w:t xml:space="preserve">Freezing point   (°C):   No data available. </w:t>
      </w:r>
    </w:p>
    <w:p>
      <w:r>
        <w:t xml:space="preserve">Flash  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  @1628 °C </w:t>
      </w:r>
    </w:p>
    <w:p>
      <w:r>
        <w:t xml:space="preserve">Vapour density:   No data available. </w:t>
      </w:r>
    </w:p>
    <w:p>
      <w:r>
        <w:t xml:space="preserve">Relative densi ty (25 ° C):   8.92 </w:t>
      </w:r>
    </w:p>
    <w:p>
      <w:r>
        <w:t xml:space="preserve">Water solubility (g/L ) at 20 ° C:   Negligible (&lt; 0.1%).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exposure to air . </w:t>
      </w:r>
    </w:p>
    <w:p>
      <w:r>
        <w:t xml:space="preserve">Incompatible materials:   Ammonium nitrate, bromates, iodates, chlorates, ethylene oxide, hydrazoic acid, potassium</w:t>
      </w:r>
    </w:p>
    <w:p>
      <w:r>
        <w:t xml:space="preserve">oxide, dimethyl sulphoxide + trichloroacetic acid, hydrogen peroxide, sodium peroxide, sodium azide, sulphuric acid, </w:t>
      </w:r>
    </w:p>
    <w:p>
      <w:r>
        <w:t xml:space="preserve">hydrogen sulphide + air, and lead azide. Ignites on contact with chlorine, fluorine (above 121 ºC), chlorine trifluoride,</w:t>
      </w:r>
    </w:p>
    <w:p>
      <w:r>
        <w:t xml:space="preserve">and hydrazinium nitrate (above 70 ºC). Incompatible with 1 -bromo-2-propyne, potassium dioxide, and actylenic</w:t>
      </w:r>
    </w:p>
    <w:p>
      <w:r>
        <w:t xml:space="preserve">compounds. </w:t>
      </w:r>
    </w:p>
    <w:p>
      <w:r>
        <w:t xml:space="preserve">Hazardous decomposition products:   Copper fumes. </w:t>
      </w:r>
    </w:p>
    <w:p>
      <w:r>
        <w:t xml:space="preserve">Section 11: Toxicological Information </w:t>
      </w:r>
    </w:p>
    <w:p>
      <w:r>
        <w:t xml:space="preserve">Information on toxicological effects:</w:t>
      </w:r>
    </w:p>
    <w:p>
      <w:r>
        <w:rPr>
          <w:b/>
        </w:rPr>
        <w:t xml:space="preserve">Page 5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5/9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Mortality LOEC,   Oncorhynchus mykiss , 0.022 mg/l, 96 hours. </w:t>
      </w:r>
    </w:p>
    <w:p>
      <w:r>
        <w:t xml:space="preserve">Toxicity to Daphnia and Other Aquatic Invertebrates: Mortality NOEC, Daphnia, 0.004 mg/l, 24 hours. </w:t>
      </w:r>
    </w:p>
    <w:p>
      <w:r>
        <w:t xml:space="preserve">EC50 -   Daphnia magna,   0.04 - 0.05 mg/l, 48 hours. </w:t>
      </w:r>
    </w:p>
    <w:p>
      <w:r>
        <w:t xml:space="preserve">Persistence and degradability:   No data available. </w:t>
      </w:r>
    </w:p>
    <w:p>
      <w:r>
        <w:t xml:space="preserve">Bioaccumulative potential:   Cyprinus carpio , 40 days, 200 mg/l. Bioconcentration factor (BCF): 108.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 with long-lasting effects. Avoid release to the environment.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Offer surplus and non-recyclable solutions to a licensed disposal</w:t>
      </w:r>
    </w:p>
    <w:p>
      <w:r>
        <w:t xml:space="preserve">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Copper, CAS No. 7440-50-8, Revision Date: 2007-07-01. </w:t>
      </w:r>
    </w:p>
    <w:p>
      <w:r>
        <w:t xml:space="preserve">SARA 311/312 Hazards:   Fire Hazard, Chronic Health Hazard. </w:t>
      </w:r>
    </w:p>
    <w:p>
      <w:r>
        <w:t xml:space="preserve">Massachusetts Right to Know Components:   Copper, CAS No.7440-50-8, Revision Date 2007-07-01 </w:t>
      </w:r>
    </w:p>
    <w:p>
      <w:r>
        <w:t xml:space="preserve">Pennsylvania Right to Know Components:   Copper, CAS No.7440-50-8, Revision Date 2007-07-01 </w:t>
      </w:r>
    </w:p>
    <w:p>
      <w:r>
        <w:t xml:space="preserve">New Jersey Right to Know Components:   Copper, CAS No.7440-50-8,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