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Chloride 1642 SDS</w:t>
      </w:r>
    </w:p>
    <w:p>
      <w:r>
        <w:t xml:space="preserve">Publisher: ProChem, Inc.</w:t>
      </w:r>
    </w:p>
    <w:p>
      <w:r>
        <w:t xml:space="preserve">Source: https://resds.com/document/dysprosium-iii-chloride-prochem-en-4d7bb77ffe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Dysprosium (III) Chloride</w:t>
      </w:r>
    </w:p>
    <w:p>
      <w:r>
        <w:t xml:space="preserve"/>
      </w:r>
    </w:p>
    <w:p>
      <w:r>
        <w:t xml:space="preserve"> PRODUCT NUMBER:  1642</w:t>
      </w:r>
    </w:p>
    <w:p>
      <w:r>
        <w:t xml:space="preserve"/>
      </w:r>
    </w:p>
    <w:p>
      <w:r>
        <w:t xml:space="preserve"> CAS NUMBER:        10025-74-8</w:t>
      </w:r>
    </w:p>
    <w:p>
      <w:r>
        <w:t xml:space="preserve"/>
      </w:r>
    </w:p>
    <w:p>
      <w:r>
        <w:t xml:space="preserve"> SYNONYMS:         Dysprosium trichloride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CHLORIDE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be a mild irritant to the eyes.</w:t>
      </w:r>
    </w:p>
    <w:p>
      <w:r>
        <w:t xml:space="preserve"> SKIN CONTACT: May cause slight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DyCl3</w:t>
      </w:r>
    </w:p>
    <w:p>
      <w:r>
        <w:t xml:space="preserve"/>
      </w:r>
    </w:p>
    <w:p>
      <w:r>
        <w:t xml:space="preserve"> Molecular Weight: 268.86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Dysprosium (III) chloride                                                 10025-74-8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In case of eye contact, flush the eye with plenty of water and seek medical attention if necessary.</w:t>
      </w:r>
    </w:p>
    <w:p>
      <w:r>
        <w:t xml:space="preserve"> SKIN EXPOSURE: Immediately wash with plenty of water and wash soap for at least 15 minutes while removing</w:t>
      </w:r>
    </w:p>
    <w:p>
      <w:r>
        <w:t xml:space="preserve"> contaminated clothing. Get medical attention if necessary.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dysprosium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dry protective gas.</w:t>
      </w:r>
    </w:p>
    <w:p>
      <w:r>
        <w:t xml:space="preserve"> CONDITIONS FOR SAFE STORAGE: Store in cool, dry well ventilated area. Hygroscopic. Store away from water, moisture, and</w:t>
      </w:r>
    </w:p>
    <w:p>
      <w:r>
        <w:t xml:space="preserve">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CHLORIDE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to yellow powder</w:t>
      </w:r>
    </w:p>
    <w:p>
      <w:r>
        <w:t xml:space="preserve"> ODOR: None</w:t>
      </w:r>
    </w:p>
    <w:p>
      <w:r>
        <w:t xml:space="preserve"> MOLECULAR WEIGHT: 268.86</w:t>
      </w:r>
    </w:p>
    <w:p>
      <w:r>
        <w:t xml:space="preserve"> BOILING POINT: 1530° C</w:t>
      </w:r>
    </w:p>
    <w:p>
      <w:r>
        <w:t xml:space="preserve"> MELTING POINT: 718°C</w:t>
      </w:r>
    </w:p>
    <w:p>
      <w:r>
        <w:t xml:space="preserve"> SPECIFIC GRAVITY: 3.67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moisture.</w:t>
      </w:r>
    </w:p>
    <w:p>
      <w:r>
        <w:t xml:space="preserve"> INCOMPATIBILITY: Active metals, strong oxidizing agents, water, and moisture.</w:t>
      </w:r>
    </w:p>
    <w:p>
      <w:r>
        <w:t xml:space="preserve"> DECOMPOSITION PRODUCTS: Hydrogen chloride gas and dysprosium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Oral – mouse – 5443mg/kg. LD50 Intraperitoneal – mouse – 343mg/kg. LD50 Intraperitoneal – Guinea Pig –</w:t>
      </w:r>
    </w:p>
    <w:p>
      <w:r>
        <w:t xml:space="preserve"> 196mg/kg.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JW0700000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Dysprosium (III) Chloride</w:t>
      </w:r>
    </w:p>
    <w:p>
      <w:r>
        <w:t xml:space="preserve"/>
      </w:r>
    </w:p>
    <w:p>
      <w:r>
        <w:t xml:space="preserve"> PENNSYLVANIA RIGHT TO KNOW COMPONENTS: Dysprosium (III) Chloride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CHLORIDE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CHLORIDE                                                              PAGE 4</w:t>
      </w:r>
    </w:p>
    <w:sectPr>
      <w:pgSz w:w="11906" w:h="16838"/>
      <w:pgMar w:top="1134" w:right="1134" w:bottom="1134" w:left="1134"/>
    </w:sectPr>
  </w:body>
</w:document>
</file>