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fluoride, anhydrous 1646 SDS</w:t>
      </w:r>
    </w:p>
    <w:p>
      <w:r>
        <w:t xml:space="preserve">Publisher: ProChem, Inc.</w:t>
      </w:r>
    </w:p>
    <w:p>
      <w:r>
        <w:t xml:space="preserve">Source: https://resds.com/document/dysprosium-iii-fluoride-anhydrous-prochem-en-95b897d1e7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fluoride, anhydrous</w:t>
      </w:r>
    </w:p>
    <w:p>
      <w:r>
        <w:t xml:space="preserve"/>
      </w:r>
    </w:p>
    <w:p>
      <w:r>
        <w:t xml:space="preserve"> PRODUCT NUMBER:  1646</w:t>
      </w:r>
    </w:p>
    <w:p>
      <w:r>
        <w:t xml:space="preserve"/>
      </w:r>
    </w:p>
    <w:p>
      <w:r>
        <w:t xml:space="preserve"> CAS NUMBER:        13569-80-7</w:t>
      </w:r>
    </w:p>
    <w:p>
      <w:r>
        <w:t xml:space="preserve"/>
      </w:r>
    </w:p>
    <w:p>
      <w:r>
        <w:t xml:space="preserve"> SYNONYMS:        Dysprosium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May cause mild irritation and redness.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DyF3</w:t>
      </w:r>
    </w:p>
    <w:p>
      <w:r>
        <w:t xml:space="preserve"/>
      </w:r>
    </w:p>
    <w:p>
      <w:r>
        <w:t xml:space="preserve"> Molecular Weight: 219.5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fluoride                                                  13569-80-7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dysprosium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Spills can be mixed with powdered sodium bicarbonate,</w:t>
      </w:r>
    </w:p>
    <w:p>
      <w:r>
        <w:t xml:space="preserve"> lime, or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a dry inert gas.</w:t>
      </w:r>
    </w:p>
    <w:p>
      <w:r>
        <w:t xml:space="preserve"> CONDITIONS FOR SAFE STORAGE: Store in cool, dry, and well-ventilated area. Store away from oxidizing agents.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      Exposure Limits             Basis                      Entity</w:t>
      </w:r>
    </w:p>
    <w:p>
      <w:r>
        <w:t xml:space="preserve"> Dysprosium (III) fluoride (As fluoride)     2.5 mg/m3                TLV                 ACGIH</w:t>
      </w:r>
    </w:p>
    <w:p>
      <w:r>
        <w:t xml:space="preserve">                                         2.5 mg/m3                PEL                OSHA</w:t>
      </w:r>
    </w:p>
    <w:p>
      <w:r>
        <w:t xml:space="preserve">                                   1 mg/m3                 REL                 NIOSH</w:t>
      </w:r>
    </w:p>
    <w:p>
      <w:r>
        <w:t xml:space="preserve">                                   3 mg/g (Before shift)          BEI-U                ACGIH</w:t>
      </w:r>
    </w:p>
    <w:p>
      <w:r>
        <w:t xml:space="preserve">                                  10mg/g (End of shift)          BEI-U                ACGIH</w:t>
      </w:r>
    </w:p>
    <w:p>
      <w:r>
        <w:t xml:space="preserve">                                       2mg/l (16hrs after exposure)    BEI-U                ACGIH</w:t>
      </w:r>
    </w:p>
    <w:p>
      <w:r>
        <w:t xml:space="preserve">                                       3mg/l (After exposure ceases)  BEI-U                ACGIH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219.5</w:t>
      </w:r>
    </w:p>
    <w:p>
      <w:r>
        <w:t xml:space="preserve"> BOILING POINT: 2200° C</w:t>
      </w:r>
    </w:p>
    <w:p>
      <w:r>
        <w:t xml:space="preserve"> MELTING POINT: 1360° C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 and mineral acids</w:t>
      </w:r>
    </w:p>
    <w:p>
      <w:r>
        <w:t xml:space="preserve"> DECOMPOSITION PRODUCTS: Hydrogen fluoride and dysprosium oxide fumes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</w:t>
      </w:r>
    </w:p>
    <w:p>
      <w:r>
        <w:t xml:space="preserve"> heat, itching, increased awareness of odor and taste, and liver damage.</w:t>
      </w:r>
    </w:p>
    <w:p>
      <w:r>
        <w:t xml:space="preserve"> Fluorides may cause salivation, nausea, vomiting, diarrhea, and abdominal pain, followed by weakness, tremors, shallow respiration,</w:t>
      </w:r>
    </w:p>
    <w:p>
      <w:r>
        <w:t xml:space="preserve"> convulsions, and coma. May cause brain and kidney damage. Chronic fluoride poisoning can cause severe bone changes, loss of</w:t>
      </w:r>
    </w:p>
    <w:p>
      <w:r>
        <w:t xml:space="preserve"> weight, anorexia, anemia, and dental defects.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Dysprosium (III) fluoride</w:t>
      </w:r>
    </w:p>
    <w:p>
      <w:r>
        <w:t xml:space="preserve"/>
      </w:r>
    </w:p>
    <w:p>
      <w:r>
        <w:t xml:space="preserve"> PENNSYLVANIA RIGHT TO KNOW COMPONENTS: Dysprosium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FLUORIDE, ANHYDROUS                                                    PAGE 4</w:t>
      </w:r>
    </w:p>
    <w:sectPr>
      <w:pgSz w:w="11906" w:h="16838"/>
      <w:pgMar w:top="1134" w:right="1134" w:bottom="1134" w:left="1134"/>
    </w:sectPr>
  </w:body>
</w:document>
</file>