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fluoride 432164 SDS</w:t>
      </w:r>
    </w:p>
    <w:p>
      <w:r>
        <w:t xml:space="preserve">Publisher: Sigma-Aldrich</w:t>
      </w:r>
    </w:p>
    <w:p>
      <w:r>
        <w:t xml:space="preserve">Source: https://resds.com/document/gadolinium-iii-fluoride-sds-sigma-en-234480f0f2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Version 3.12</w:t>
      </w:r>
    </w:p>
    <w:p>
      <w:r>
        <w:t xml:space="preserve">                                                                                                           Revision Date 09/14/2017</w:t>
      </w:r>
    </w:p>
    <w:p>
      <w:r>
        <w:t xml:space="preserve">                                                                                                                                 Print Date 11/06/2018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/>
      </w:r>
    </w:p>
    <w:p>
      <w:r>
        <w:t xml:space="preserve">  1.1   Product identifiers</w:t>
      </w:r>
    </w:p>
    <w:p>
      <w:r>
        <w:t xml:space="preserve">        Product name                        :  Gadolinium(III) fluoride</w:t>
      </w:r>
    </w:p>
    <w:p>
      <w:r>
        <w:t xml:space="preserve"/>
      </w:r>
    </w:p>
    <w:p>
      <w:r>
        <w:t xml:space="preserve">        Product Number                     :  432164</w:t>
      </w:r>
    </w:p>
    <w:p>
      <w:r>
        <w:t xml:space="preserve">        Brand                                     :   Aldrich</w:t>
      </w:r>
    </w:p>
    <w:p>
      <w:r>
        <w:t xml:space="preserve"/>
      </w:r>
    </w:p>
    <w:p>
      <w:r>
        <w:t xml:space="preserve">       CAS-No.                                 :  13765-26-9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   Identified uses                        :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1.3    Details of the supplier of the safety data sheet</w:t>
      </w:r>
    </w:p>
    <w:p>
      <w:r>
        <w:t xml:space="preserve"/>
      </w:r>
    </w:p>
    <w:p>
      <w:r>
        <w:t xml:space="preserve"> 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/>
      </w:r>
    </w:p>
    <w:p>
      <w:r>
        <w:t xml:space="preserve">2.1    Classification of the substance or mixture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2.3   Hazards not otherwise classified (HNOC) or not covered by GHS</w:t>
      </w:r>
    </w:p>
    <w:p>
      <w:r>
        <w:t xml:space="preserve">     Weak hydrogen fluoride-releaser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  Formula                                  :  F3Gd</w:t>
      </w:r>
    </w:p>
    <w:p>
      <w:r>
        <w:t xml:space="preserve">        Molecular weight                    :  214.25 g/mol</w:t>
      </w:r>
    </w:p>
    <w:p>
      <w:r>
        <w:t xml:space="preserve">       CAS-No.                                 :  13765-26-9</w:t>
      </w:r>
    </w:p>
    <w:p>
      <w:r>
        <w:t xml:space="preserve">       EC-No.                                   :  237-369-4</w:t>
      </w:r>
    </w:p>
    <w:p>
      <w:r>
        <w:t xml:space="preserve">     Hazardous components</w:t>
      </w:r>
    </w:p>
    <w:p>
      <w:r>
        <w:t xml:space="preserve">       Component                                                Classification                  Concentration</w:t>
      </w:r>
    </w:p>
    <w:p>
      <w:r>
        <w:t xml:space="preserve">         Gadolinium(III) fluoride</w:t>
      </w:r>
    </w:p>
    <w:p>
      <w:r>
        <w:t xml:space="preserve">                                                                               90 - 100 %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- 432164                                                                                                Page 1 of 8</w:t>
      </w:r>
    </w:p>
    <w:p>
      <w:r>
        <w:rPr>
          <w:b/>
        </w:rPr>
        <w:t xml:space="preserve">Page 2</w:t>
      </w:r>
    </w:p>
    <w:p>
      <w:r>
        <w:t xml:space="preserve">  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 Hydrofluoric (HF) acid burns require immediate and specialized first aid and medical treatment. Symptoms may be</w:t>
      </w:r>
    </w:p>
    <w:p>
      <w:r>
        <w:t xml:space="preserve">      delayed up to 24 hours depending on the concentration of HF. After decontamination with water, further damage can</w:t>
      </w:r>
    </w:p>
    <w:p>
      <w:r>
        <w:t xml:space="preserve">      occur due to penetration/absorption of the fluoride ion. Treatment should be directed toward binding the fluoride ion as</w:t>
      </w:r>
    </w:p>
    <w:p>
      <w:r>
        <w:t xml:space="preserve">       well as the effects of exposure. Skin exposures can be treated with a 2.5% calcium gluconate gel repeated until burning</w:t>
      </w:r>
    </w:p>
    <w:p>
      <w:r>
        <w:t xml:space="preserve">      ceases. More serious skin exposures may require subcutaneous calcium gluconate except for digital areas unless the</w:t>
      </w:r>
    </w:p>
    <w:p>
      <w:r>
        <w:t xml:space="preserve">       physician is experienced in this technique, due to the potential for tissue injury from increased pressure. Absorption can</w:t>
      </w:r>
    </w:p>
    <w:p>
      <w:r>
        <w:t xml:space="preserve">       readily occur through the subungual areas and should be considered when undergoing decontamination. Prevention of</w:t>
      </w:r>
    </w:p>
    <w:p>
      <w:r>
        <w:t xml:space="preserve">       absorption of the fluoride ion in cases of ingestion can be obtained by giving milk, chewable calcium carbonate tablets or</w:t>
      </w:r>
    </w:p>
    <w:p>
      <w:r>
        <w:t xml:space="preserve">       Milk of Magnesia to conscious victims. Conditions such as hypocalcemia, hypomagnesemia and cardiac arrhythmias</w:t>
      </w:r>
    </w:p>
    <w:p>
      <w:r>
        <w:t xml:space="preserve">      should be monitored for, since they can occur after exposure.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   First treatment with calcium gluconate paste.Wash off with soap and plenty of water.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Flush eyes with water as a precaution.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 Avoid dust formation. Avoid breathing vapours, mist or gas.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No special environmental precautions required.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Sweep up and shovel. Keep in suitable, closed containers for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- 432164                                                                                                Page 2 of 8</w:t>
      </w:r>
    </w:p>
    <w:p>
      <w:r>
        <w:rPr>
          <w:b/>
        </w:rPr>
        <w:t xml:space="preserve">Page 3</w:t>
      </w:r>
    </w:p>
    <w:p>
      <w:r>
        <w:t xml:space="preserve">  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 Further processing of solid materials may result in the formation of combustible dusts. The potential for combustible dust</w:t>
      </w:r>
    </w:p>
    <w:p>
      <w:r>
        <w:t xml:space="preserve">       formation should be taken into consideration before additional processing occurs.</w:t>
      </w:r>
    </w:p>
    <w:p>
      <w:r>
        <w:t xml:space="preserve">      Provide appropriate exhaust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Keep in a dry place.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 PROTECTION</w:t>
      </w:r>
    </w:p>
    <w:p>
      <w:r>
        <w:t xml:space="preserve"/>
      </w:r>
    </w:p>
    <w:p>
      <w:r>
        <w:t xml:space="preserve">  8.1   Control parameters</w:t>
      </w:r>
    </w:p>
    <w:p>
      <w:r>
        <w:t xml:space="preserve"/>
      </w:r>
    </w:p>
    <w:p>
      <w:r>
        <w:t xml:space="preserve">       Components with workplace control parameters</w:t>
      </w:r>
    </w:p>
    <w:p>
      <w:r>
        <w:t xml:space="preserve">       Component         CAS-No.     Value        Control          Basis</w:t>
      </w:r>
    </w:p>
    <w:p>
      <w:r>
        <w:t xml:space="preserve">                                                    parameters</w:t>
      </w:r>
    </w:p>
    <w:p>
      <w:r>
        <w:t xml:space="preserve">         Gadolinium(III)       13765-26-9  TWA       2.500000       USA. Occupational Exposure Limits</w:t>
      </w:r>
    </w:p>
    <w:p>
      <w:r>
        <w:t xml:space="preserve">          fluoride                               mg/m3         (OSHA) - Table Z-1 Limits for Air</w:t>
      </w:r>
    </w:p>
    <w:p>
      <w:r>
        <w:t xml:space="preserve">                                                                   Contaminants</w:t>
      </w:r>
    </w:p>
    <w:p>
      <w:r>
        <w:t xml:space="preserve">                         Remarks   CAS number varies with compound</w:t>
      </w:r>
    </w:p>
    <w:p>
      <w:r>
        <w:t xml:space="preserve">                           TWA       2.500000       USA. Occupational Exposure Limits</w:t>
      </w:r>
    </w:p>
    <w:p>
      <w:r>
        <w:t xml:space="preserve">                                           mg/m3         (OSHA) - Table Z-2</w:t>
      </w:r>
    </w:p>
    <w:p>
      <w:r>
        <w:t xml:space="preserve">                                        Z37.28-1969</w:t>
      </w:r>
    </w:p>
    <w:p>
      <w:r>
        <w:t xml:space="preserve">                           TWA       2.500000       USA. ACGIH Threshold Limit Values</w:t>
      </w:r>
    </w:p>
    <w:p>
      <w:r>
        <w:t xml:space="preserve">                                           mg/m3          (TLV)</w:t>
      </w:r>
    </w:p>
    <w:p>
      <w:r>
        <w:t xml:space="preserve">                                   Bone damage</w:t>
      </w:r>
    </w:p>
    <w:p>
      <w:r>
        <w:t xml:space="preserve">                                              Fluorosis</w:t>
      </w:r>
    </w:p>
    <w:p>
      <w:r>
        <w:t xml:space="preserve">                                       Substances for which there is a Biological Exposure Index or Indices</w:t>
      </w:r>
    </w:p>
    <w:p>
      <w:r>
        <w:t xml:space="preserve">                                          (see BEI® section)</w:t>
      </w:r>
    </w:p>
    <w:p>
      <w:r>
        <w:t xml:space="preserve">                                        Not classifiable as a human carcinogen</w:t>
      </w:r>
    </w:p>
    <w:p>
      <w:r>
        <w:t xml:space="preserve">                                              varies</w:t>
      </w:r>
    </w:p>
    <w:p>
      <w:r>
        <w:t xml:space="preserve">                           TWA       2.500000       USA. ACGIH Threshold Limit Values</w:t>
      </w:r>
    </w:p>
    <w:p>
      <w:r>
        <w:t xml:space="preserve">                                           mg/m3          (TLV)</w:t>
      </w:r>
    </w:p>
    <w:p>
      <w:r>
        <w:t xml:space="preserve">                                   Bone damage</w:t>
      </w:r>
    </w:p>
    <w:p>
      <w:r>
        <w:t xml:space="preserve">                                              Fluorosis</w:t>
      </w:r>
    </w:p>
    <w:p>
      <w:r>
        <w:t xml:space="preserve">                                       Substances for which there is a Biological Exposure Index or Indices</w:t>
      </w:r>
    </w:p>
    <w:p>
      <w:r>
        <w:t xml:space="preserve">                                          (see BEI® section)</w:t>
      </w:r>
    </w:p>
    <w:p>
      <w:r>
        <w:t xml:space="preserve">                                        Not classifiable as a human carcinogen</w:t>
      </w:r>
    </w:p>
    <w:p>
      <w:r>
        <w:t xml:space="preserve">                                              varies</w:t>
      </w:r>
    </w:p>
    <w:p>
      <w:r>
        <w:t xml:space="preserve">                           TWA        2.5 mg/m3      USA. Occupational Exposure Limits</w:t>
      </w:r>
    </w:p>
    <w:p>
      <w:r>
        <w:t xml:space="preserve">                                                            (OSHA) - Table Z-1 Limits for Air</w:t>
      </w:r>
    </w:p>
    <w:p>
      <w:r>
        <w:t xml:space="preserve">                                                                   Contaminants</w:t>
      </w:r>
    </w:p>
    <w:p>
      <w:r>
        <w:t xml:space="preserve">                              CAS number varies with compound</w:t>
      </w:r>
    </w:p>
    <w:p>
      <w:r>
        <w:t xml:space="preserve">                           TWA        2.5 mg/m3      USA. ACGIH Threshold Limit Values</w:t>
      </w:r>
    </w:p>
    <w:p>
      <w:r>
        <w:t xml:space="preserve">                                                                     (TLV)</w:t>
      </w:r>
    </w:p>
    <w:p>
      <w:r>
        <w:t xml:space="preserve">                                   Bone damage</w:t>
      </w:r>
    </w:p>
    <w:p>
      <w:r>
        <w:t xml:space="preserve">                                              Fluorosis</w:t>
      </w:r>
    </w:p>
    <w:p>
      <w:r>
        <w:t xml:space="preserve">                                       Substances for which there is a Biological Exposure Index or Indices</w:t>
      </w:r>
    </w:p>
    <w:p>
      <w:r>
        <w:t xml:space="preserve">                                          (see BEI® section)</w:t>
      </w:r>
    </w:p>
    <w:p>
      <w:r>
        <w:t xml:space="preserve">                                        Not classifiable as a human carcinogen</w:t>
      </w:r>
    </w:p>
    <w:p>
      <w:r>
        <w:t xml:space="preserve">                                              varies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- 432164                                                                                                Page 3 of 8</w:t>
      </w:r>
    </w:p>
    <w:p>
      <w:r>
        <w:rPr>
          <w:b/>
        </w:rPr>
        <w:t xml:space="preserve">Page 4</w:t>
      </w:r>
    </w:p>
    <w:p>
      <w:r>
        <w:t xml:space="preserve">                               PEL         2.5 mg/m3        California permissible exposure</w:t>
      </w:r>
    </w:p>
    <w:p>
      <w:r>
        <w:t xml:space="preserve">                                                                                         limits for chemical contaminants</w:t>
      </w:r>
    </w:p>
    <w:p>
      <w:r>
        <w:t xml:space="preserve">                                                                                            (Title 8, Article 107)</w:t>
      </w:r>
    </w:p>
    <w:p>
      <w:r>
        <w:t xml:space="preserve"/>
      </w:r>
    </w:p>
    <w:p>
      <w:r>
        <w:t xml:space="preserve">       Biological occupational exposure limits</w:t>
      </w:r>
    </w:p>
    <w:p>
      <w:r>
        <w:t xml:space="preserve">      Component        CAS-No.     Parameters    Value       Biological          Basis</w:t>
      </w:r>
    </w:p>
    <w:p>
      <w:r>
        <w:t xml:space="preserve">                                                            specimen</w:t>
      </w:r>
    </w:p>
    <w:p>
      <w:r>
        <w:t xml:space="preserve"/>
      </w:r>
    </w:p>
    <w:p>
      <w:r>
        <w:t xml:space="preserve">        Gadolinium(III)       13765-26-9   Fluoride       3.0000     Urine          ACGIH - Biological</w:t>
      </w:r>
    </w:p>
    <w:p>
      <w:r>
        <w:t xml:space="preserve">        fluoride                                    mg/g                       Exposure Indices</w:t>
      </w:r>
    </w:p>
    <w:p>
      <w:r>
        <w:t xml:space="preserve">                                                                                           (BEI)</w:t>
      </w:r>
    </w:p>
    <w:p>
      <w:r>
        <w:t xml:space="preserve">                       Remarks      Prior to shift (16 hours after exposure ceases)</w:t>
      </w:r>
    </w:p>
    <w:p>
      <w:r>
        <w:t xml:space="preserve">                                            Fluoride       10.0000    Urine          ACGIH - Biological</w:t>
      </w:r>
    </w:p>
    <w:p>
      <w:r>
        <w:t xml:space="preserve">                                                mg/g                       Exposure Indices</w:t>
      </w:r>
    </w:p>
    <w:p>
      <w:r>
        <w:t xml:space="preserve">                                                                                           (BEI)</w:t>
      </w:r>
    </w:p>
    <w:p>
      <w:r>
        <w:t xml:space="preserve">                                 End of shift (As soon as possible after exposure ceases)</w:t>
      </w:r>
    </w:p>
    <w:p>
      <w:r>
        <w:t xml:space="preserve">                                            Fluoride      2 mg/l      Urine          ACGIH - Biological</w:t>
      </w:r>
    </w:p>
    <w:p>
      <w:r>
        <w:t xml:space="preserve">                                                                              Exposure Indices</w:t>
      </w:r>
    </w:p>
    <w:p>
      <w:r>
        <w:t xml:space="preserve">                                                                                           (BEI)</w:t>
      </w:r>
    </w:p>
    <w:p>
      <w:r>
        <w:t xml:space="preserve">                                               Prior to shift (16 hours after exposure ceases)</w:t>
      </w:r>
    </w:p>
    <w:p>
      <w:r>
        <w:t xml:space="preserve">                                            Fluoride      3 mg/l      Urine          ACGIH - Biological</w:t>
      </w:r>
    </w:p>
    <w:p>
      <w:r>
        <w:t xml:space="preserve">                                                                              Exposure Indices</w:t>
      </w:r>
    </w:p>
    <w:p>
      <w:r>
        <w:t xml:space="preserve">                                                                                           (BEI)</w:t>
      </w:r>
    </w:p>
    <w:p>
      <w:r>
        <w:t xml:space="preserve">                                 End of shift (As soon as possible after exposure ceases)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General industrial hygiene practice.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 Eye/face protection</w:t>
      </w:r>
    </w:p>
    <w:p>
      <w:r>
        <w:t xml:space="preserve">          Use equipment for eye protection tested and approved under appropriate government standards such as</w:t>
      </w:r>
    </w:p>
    <w:p>
      <w:r>
        <w:t xml:space="preserve">         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      Full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 Break through time: 480 min</w:t>
      </w:r>
    </w:p>
    <w:p>
      <w:r>
        <w:t xml:space="preserve">              Material tested:Dermatril® (KCL 740 / Aldrich Z677272, Size M)</w:t>
      </w:r>
    </w:p>
    <w:p>
      <w:r>
        <w:t xml:space="preserve"/>
      </w:r>
    </w:p>
    <w:p>
      <w:r>
        <w:t xml:space="preserve">            Splash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 Break through time: 480 min</w:t>
      </w:r>
    </w:p>
    <w:p>
      <w:r>
        <w:t xml:space="preserve">              Material tested:Dermatril® (KCL 740 / Aldrich Z677272, Size M)</w:t>
      </w:r>
    </w:p>
    <w:p>
      <w:r>
        <w:t xml:space="preserve"/>
      </w:r>
    </w:p>
    <w:p>
      <w:r>
        <w:t xml:space="preserve">            data source: KCL GmbH, D-36124 Eichenzell, phone +49 (0)6659 87300, e-mail sales@kcl.de, test method:</w:t>
      </w:r>
    </w:p>
    <w:p>
      <w:r>
        <w:t xml:space="preserve">          EN374</w:t>
      </w:r>
    </w:p>
    <w:p>
      <w:r>
        <w:t xml:space="preserve">                      If used in solution, or mixed with other substances, and under conditions which differ from EN 374, contact the</w:t>
      </w:r>
    </w:p>
    <w:p>
      <w:r>
        <w:t xml:space="preserve">              supplier of the CE approved gloves. This recommendation is advisory only and must be evaluated by an</w:t>
      </w:r>
    </w:p>
    <w:p>
      <w:r>
        <w:t xml:space="preserve">               industrial hygienist and safety officer familiar with the specific situation of anticipated use by our customers. It</w:t>
      </w:r>
    </w:p>
    <w:p>
      <w:r>
        <w:t xml:space="preserve">            should not be construed as offering an approval for any specific use scenario.</w:t>
      </w:r>
    </w:p>
    <w:p>
      <w:r>
        <w:t xml:space="preserve"/>
      </w:r>
    </w:p>
    <w:p>
      <w:r>
        <w:t xml:space="preserve">          Body Protection</w:t>
      </w:r>
    </w:p>
    <w:p>
      <w:r>
        <w:t xml:space="preserve">           Choose body protection in relation to its type, to the concentration and amount of dangerous substances, and</w:t>
      </w:r>
    </w:p>
    <w:p>
      <w:r>
        <w:t xml:space="preserve">               to the specific work-place., The type of protective equipment must be selected according to the concentration</w:t>
      </w:r>
    </w:p>
    <w:p>
      <w:r>
        <w:t xml:space="preserve">          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- 432164                                                                                                Page 4 of 8</w:t>
      </w:r>
    </w:p>
    <w:p>
      <w:r>
        <w:rPr>
          <w:b/>
        </w:rPr>
        <w:t xml:space="preserve">Page 5</w:t>
      </w:r>
    </w:p>
    <w:p>
      <w:r>
        <w:t xml:space="preserve">             Respiratory protection</w:t>
      </w:r>
    </w:p>
    <w:p>
      <w:r>
        <w:t xml:space="preserve">               Respiratory protection is not required. Where protection from nuisance levels of dusts are desired, use type</w:t>
      </w:r>
    </w:p>
    <w:p>
      <w:r>
        <w:t xml:space="preserve">           N95 (US) or type P1 (EN 143) dust masks. Use respirators and components tested and approved under</w:t>
      </w:r>
    </w:p>
    <w:p>
      <w:r>
        <w:t xml:space="preserve">               appropriate government standards such as NIOSH (US) or CEN (EU).</w:t>
      </w:r>
    </w:p>
    <w:p>
      <w:r>
        <w:t xml:space="preserve"/>
      </w:r>
    </w:p>
    <w:p>
      <w:r>
        <w:t xml:space="preserve">             Control of environmental exposure</w:t>
      </w:r>
    </w:p>
    <w:p>
      <w:r>
        <w:t xml:space="preserve">           No special environmental precautions required.</w:t>
      </w:r>
    </w:p>
    <w:p>
      <w:r>
        <w:t xml:space="preserve"/>
      </w:r>
    </w:p>
    <w:p>
      <w:r>
        <w:t xml:space="preserve">  9. PHYSICAL AND CHEMICAL PROPERTIES</w:t>
      </w:r>
    </w:p>
    <w:p>
      <w:r>
        <w:t xml:space="preserve"/>
      </w:r>
    </w:p>
    <w:p>
      <w:r>
        <w:t xml:space="preserve">  9.1   Information on basic physical and chemical properties</w:t>
      </w:r>
    </w:p>
    <w:p>
      <w:r>
        <w:t xml:space="preserve"/>
      </w:r>
    </w:p>
    <w:p>
      <w:r>
        <w:t xml:space="preserve">         a)  Appearance            Form: powder</w:t>
      </w:r>
    </w:p>
    <w:p>
      <w:r>
        <w:t xml:space="preserve">                                      Colour: white</w:t>
      </w:r>
    </w:p>
    <w:p>
      <w:r>
        <w:t xml:space="preserve"/>
      </w:r>
    </w:p>
    <w:p>
      <w:r>
        <w:t xml:space="preserve">         b)  Odour              No data available</w:t>
      </w:r>
    </w:p>
    <w:p>
      <w:r>
        <w:t xml:space="preserve"/>
      </w:r>
    </w:p>
    <w:p>
      <w:r>
        <w:t xml:space="preserve">          c)  Odour Threshold      No data available</w:t>
      </w:r>
    </w:p>
    <w:p>
      <w:r>
        <w:t xml:space="preserve"/>
      </w:r>
    </w:p>
    <w:p>
      <w:r>
        <w:t xml:space="preserve">         d)  pH                No data available</w:t>
      </w:r>
    </w:p>
    <w:p>
      <w:r>
        <w:t xml:space="preserve"/>
      </w:r>
    </w:p>
    <w:p>
      <w:r>
        <w:t xml:space="preserve">         e)  Melting point/freezing   No data available</w:t>
      </w:r>
    </w:p>
    <w:p>
      <w:r>
        <w:t xml:space="preserve">              point</w:t>
      </w:r>
    </w:p>
    <w:p>
      <w:r>
        <w:t xml:space="preserve"/>
      </w:r>
    </w:p>
    <w:p>
      <w:r>
        <w:t xml:space="preserve">             f)    Initial boiling point and   No data available</w:t>
      </w:r>
    </w:p>
    <w:p>
      <w:r>
        <w:t xml:space="preserve">              boiling range</w:t>
      </w:r>
    </w:p>
    <w:p>
      <w:r>
        <w:t xml:space="preserve"/>
      </w:r>
    </w:p>
    <w:p>
      <w:r>
        <w:t xml:space="preserve">         g)  Flash point             Not applicable</w:t>
      </w:r>
    </w:p>
    <w:p>
      <w:r>
        <w:t xml:space="preserve"/>
      </w:r>
    </w:p>
    <w:p>
      <w:r>
        <w:t xml:space="preserve">         h)  Evaporation rate       No data available</w:t>
      </w:r>
    </w:p>
    <w:p>
      <w:r>
        <w:t xml:space="preserve"/>
      </w:r>
    </w:p>
    <w:p>
      <w:r>
        <w:t xml:space="preserve">               i)   Flammability (solid, gas) No data available</w:t>
      </w:r>
    </w:p>
    <w:p>
      <w:r>
        <w:t xml:space="preserve"/>
      </w:r>
    </w:p>
    <w:p>
      <w:r>
        <w:t xml:space="preserve">              j)   Upper/lower          No data available</w:t>
      </w:r>
    </w:p>
    <w:p>
      <w:r>
        <w:t xml:space="preserve">             flammability or</w:t>
      </w:r>
    </w:p>
    <w:p>
      <w:r>
        <w:t xml:space="preserve">             explosive limits</w:t>
      </w:r>
    </w:p>
    <w:p>
      <w:r>
        <w:t xml:space="preserve"/>
      </w:r>
    </w:p>
    <w:p>
      <w:r>
        <w:t xml:space="preserve">          k)  Vapour pressure       No data available</w:t>
      </w:r>
    </w:p>
    <w:p>
      <w:r>
        <w:t xml:space="preserve"/>
      </w:r>
    </w:p>
    <w:p>
      <w:r>
        <w:t xml:space="preserve">               l)   Vapour density        No data available</w:t>
      </w:r>
    </w:p>
    <w:p>
      <w:r>
        <w:t xml:space="preserve"/>
      </w:r>
    </w:p>
    <w:p>
      <w:r>
        <w:t xml:space="preserve">       m)  Relative density       No data available</w:t>
      </w:r>
    </w:p>
    <w:p>
      <w:r>
        <w:t xml:space="preserve"/>
      </w:r>
    </w:p>
    <w:p>
      <w:r>
        <w:t xml:space="preserve">         n)  Water solubility        No data available</w:t>
      </w:r>
    </w:p>
    <w:p>
      <w:r>
        <w:t xml:space="preserve"/>
      </w:r>
    </w:p>
    <w:p>
      <w:r>
        <w:t xml:space="preserve">         o)   Partition coefficient: n-   No data available</w:t>
      </w:r>
    </w:p>
    <w:p>
      <w:r>
        <w:t xml:space="preserve">             octanol/water</w:t>
      </w:r>
    </w:p>
    <w:p>
      <w:r>
        <w:t xml:space="preserve"/>
      </w:r>
    </w:p>
    <w:p>
      <w:r>
        <w:t xml:space="preserve">         p)  Auto-ignition  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q)  Decomposition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   r)   Viscosity            No data available</w:t>
      </w:r>
    </w:p>
    <w:p>
      <w:r>
        <w:t xml:space="preserve"/>
      </w:r>
    </w:p>
    <w:p>
      <w:r>
        <w:t xml:space="preserve">          s)  Explosive properties    No data available</w:t>
      </w:r>
    </w:p>
    <w:p>
      <w:r>
        <w:t xml:space="preserve"/>
      </w:r>
    </w:p>
    <w:p>
      <w:r>
        <w:t xml:space="preserve">             t)   Oxidizing properties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- 432164                                                                                                Page 5 of 8</w:t>
      </w:r>
    </w:p>
    <w:p>
      <w:r>
        <w:rPr>
          <w:b/>
        </w:rPr>
        <w:t xml:space="preserve">Page 6</w:t>
      </w:r>
    </w:p>
    <w:p>
      <w:r>
        <w:t xml:space="preserve">10.4  Conditions to avoid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Hazardous decomposition products formed under fire conditions. - Hydrogen fluoride, gadolinium oxides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/>
      </w:r>
    </w:p>
    <w:p>
      <w:r>
        <w:t xml:space="preserve">  11.1  Information on toxicological effects</w:t>
      </w:r>
    </w:p>
    <w:p>
      <w:r>
        <w:t xml:space="preserve"/>
      </w:r>
    </w:p>
    <w:p>
      <w:r>
        <w:t xml:space="preserve">       Acute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 Carcinogenicity</w:t>
      </w:r>
    </w:p>
    <w:p>
      <w:r>
        <w:t xml:space="preserve"/>
      </w:r>
    </w:p>
    <w:p>
      <w:r>
        <w:t xml:space="preserve">        IARC:    No component of this product present at levels greater than or equal to 0.1% is identified as</w:t>
      </w:r>
    </w:p>
    <w:p>
      <w:r>
        <w:t xml:space="preserve">                    probable, possible or confirmed human carcinogen by IARC.</w:t>
      </w:r>
    </w:p>
    <w:p>
      <w:r>
        <w:t xml:space="preserve"/>
      </w:r>
    </w:p>
    <w:p>
      <w:r>
        <w:t xml:space="preserve">       NTP:     No component of this product present at levels greater than or equal to 0.1% is identified as a</w:t>
      </w:r>
    </w:p>
    <w:p>
      <w:r>
        <w:t xml:space="preserve">                known or anticipated carcinogen by NTP.</w:t>
      </w:r>
    </w:p>
    <w:p>
      <w:r>
        <w:t xml:space="preserve"/>
      </w:r>
    </w:p>
    <w:p>
      <w:r>
        <w:t xml:space="preserve">       OSHA:    No component of this product present at levels greater than or equal to 0.1% is identified as a</w:t>
      </w:r>
    </w:p>
    <w:p>
      <w:r>
        <w:t xml:space="preserve">  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  Fluoride ion can reduce serum calcium levels possibly causing fatal hypocalcemia.</w:t>
      </w:r>
    </w:p>
    <w:p>
      <w:r>
        <w:t xml:space="preserve"/>
      </w:r>
    </w:p>
    <w:p>
      <w:r>
        <w:t xml:space="preserve">       Salivation, Nausea, Vomiting, Fever, Cough, Shortness of breath, Headache</w:t>
      </w:r>
    </w:p>
    <w:p>
      <w:r>
        <w:t xml:space="preserve"/>
      </w:r>
    </w:p>
    <w:p>
      <w:r>
        <w:t xml:space="preserve"/>
      </w:r>
    </w:p>
    <w:p>
      <w:r>
        <w:t xml:space="preserve">  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>  Aldrich - 432164                                                                                                Page 6 of 8</w:t>
      </w:r>
    </w:p>
    <w:p>
      <w:r>
        <w:rPr>
          <w:b/>
        </w:rPr>
        <w:t xml:space="preserve">Page 7</w:t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 Product</w:t>
      </w:r>
    </w:p>
    <w:p>
      <w:r>
        <w:t xml:space="preserve">         Offer surplus and non-recyclable solutions to a licensed disposal company.</w:t>
      </w:r>
    </w:p>
    <w:p>
      <w:r>
        <w:t xml:space="preserve"/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/>
      </w:r>
    </w:p>
    <w:p>
      <w:r>
        <w:t xml:space="preserve">     DOT (US)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IMDG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/>
      </w:r>
    </w:p>
    <w:p>
      <w:r>
        <w:t xml:space="preserve">      IATA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 exceed the threshold (De</w:t>
      </w:r>
    </w:p>
    <w:p>
      <w:r>
        <w:t xml:space="preserve">      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No SARA Hazards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  CAS-No.           Revision Date</w:t>
      </w:r>
    </w:p>
    <w:p>
      <w:r>
        <w:t xml:space="preserve">          Gadolinium(III) fluoride                                     13765-26-9        2008-06-01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 CAS-No.           Revision Date</w:t>
      </w:r>
    </w:p>
    <w:p>
      <w:r>
        <w:t xml:space="preserve">          Gadolinium(III) fluoride                                     13765-26-9        2008-06-01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Aldrich - 432164                                                                                                Page 7 of 8</w:t>
      </w:r>
    </w:p>
    <w:p>
      <w:r>
        <w:rPr>
          <w:b/>
        </w:rPr>
        <w:t xml:space="preserve">Page 8</w:t>
      </w:r>
    </w:p>
    <w:p>
      <w:r>
        <w:t xml:space="preserve">16. OTHER INFORMATION</w:t>
      </w:r>
    </w:p>
    <w:p>
      <w:r>
        <w:t xml:space="preserve"/>
      </w:r>
    </w:p>
    <w:p>
      <w:r>
        <w:t xml:space="preserve">    HMIS Rating</w:t>
      </w:r>
    </w:p>
    <w:p>
      <w:r>
        <w:t xml:space="preserve">       Health hazard:           0</w:t>
      </w:r>
    </w:p>
    <w:p>
      <w:r>
        <w:t xml:space="preserve">       Chronic Health Hazard: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NFPA Rating</w:t>
      </w:r>
    </w:p>
    <w:p>
      <w:r>
        <w:t xml:space="preserve">       Health hazard:           0</w:t>
      </w:r>
    </w:p>
    <w:p>
      <w:r>
        <w:t xml:space="preserve">        Fire Hazard:            0</w:t>
      </w:r>
    </w:p>
    <w:p>
      <w:r>
        <w:t xml:space="preserve">        Reactivity Hazard:        0</w:t>
      </w:r>
    </w:p>
    <w:p>
      <w:r>
        <w:t xml:space="preserve"/>
      </w:r>
    </w:p>
    <w:p>
      <w:r>
        <w:t xml:space="preserve">       Further information</w:t>
      </w:r>
    </w:p>
    <w:p>
      <w:r>
        <w:t xml:space="preserve">       Copyright 2016 Sigma-Aldrich Co. LLC. License granted to make unlimited paper copies for internal use only.</w:t>
      </w:r>
    </w:p>
    <w:p>
      <w:r>
        <w:t xml:space="preserve"> 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 Sigma-Aldrich Corporation</w:t>
      </w:r>
    </w:p>
    <w:p>
      <w:r>
        <w:t xml:space="preserve"> 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3.12                     Revision Date: 09/14/2017          Print Date: 11/06/2018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- 432164                                                                                                Page 8 of 8</w:t>
      </w:r>
    </w:p>
    <w:sectPr>
      <w:pgSz w:w="11906" w:h="16838"/>
      <w:pgMar w:top="1134" w:right="1134" w:bottom="1134" w:left="1134"/>
    </w:sectPr>
  </w:body>
</w:document>
</file>