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Matériau de référence certifié isotopique du gadolinium dans l'acide nitrique à 2 % GADS-1 FDS</w:t>
      </w:r>
    </w:p>
    <w:p>
      <w:r>
        <w:t xml:space="preserve">Publisher: National Research Council Canada</w:t>
      </w:r>
    </w:p>
    <w:p>
      <w:r>
        <w:t xml:space="preserve">Source: https://resds.com/document/gads-1-materiau-de-reference-certifie-isotopique-du-gadolinium-fr-46cc742a7b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 (RPD)</w:t>
      </w:r>
    </w:p>
    <w:p>
      <w:r>
        <w:t xml:space="preserve">du SIMDUT 2015</w:t>
      </w:r>
    </w:p>
    <w:p>
      <w:r>
        <w:t xml:space="preserve">Date d'émission : 2019-08-26    Date de révision : 2019-08-26     Version : 1,0</w:t>
      </w:r>
    </w:p>
    <w:p>
      <w:r>
        <w:t xml:space="preserve"/>
      </w:r>
    </w:p>
    <w:p>
      <w:r>
        <w:t xml:space="preserve"> SECTION 1 : Identification</w:t>
      </w:r>
    </w:p>
    <w:p>
      <w:r>
        <w:t xml:space="preserve"> 1.1.    Identificateur de produit</w:t>
      </w:r>
    </w:p>
    <w:p>
      <w:r>
        <w:t xml:space="preserve">  Nom du produit                                       : GADS</w:t>
      </w:r>
    </w:p>
    <w:p>
      <w:r>
        <w:t xml:space="preserve">  Code du produit                                      : Non disponsible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  Utilisation de la substance/mélange       : Matériau de référence certifié isotopique pour le gadolinium, pour utilisation</w:t>
      </w:r>
    </w:p>
    <w:p>
      <w:r>
        <w:t xml:space="preserve">                                   en laboratoire seulement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 Conseil national de recherches Canada</w:t>
      </w:r>
    </w:p>
    <w:p>
      <w:r>
        <w:t xml:space="preserve">  1200, chemin de Montréal, Bâtiment M12</w:t>
      </w:r>
    </w:p>
    <w:p>
      <w:r>
        <w:t xml:space="preserve">  Ottawa (Ontario) Canada K1A 0R6</w:t>
      </w:r>
    </w:p>
    <w:p>
      <w:r>
        <w:t xml:space="preserve">  T 613-993-2359</w:t>
      </w:r>
    </w:p>
    <w:p>
      <w:r>
        <w:t xml:space="preserve"/>
      </w:r>
    </w:p>
    <w:p>
      <w:r>
        <w:t xml:space="preserve"> 1.4.   Numéro d’appel d’urgence</w:t>
      </w:r>
    </w:p>
    <w:p>
      <w:r>
        <w:t xml:space="preserve">  Numéro d'urgence                                   : CANUTEC 1-613-996-6666</w:t>
      </w:r>
    </w:p>
    <w:p>
      <w:r>
        <w:t xml:space="preserve"/>
      </w:r>
    </w:p>
    <w:p>
      <w:r>
        <w:t xml:space="preserve"> SECTION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  Irritation cutanée 2</w:t>
      </w:r>
    </w:p>
    <w:p>
      <w:r>
        <w:t xml:space="preserve">   Irritation oculaire 2A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 Pictogrammes de danger (GHS)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GHS07</w:t>
      </w:r>
    </w:p>
    <w:p>
      <w:r>
        <w:t xml:space="preserve">  Mention d'avertissement (GHS)              : Attention</w:t>
      </w:r>
    </w:p>
    <w:p>
      <w:r>
        <w:t xml:space="preserve">  Mentions de danger (GHS)                     : Provoque une irritation cutanée. Provoque une sévère irritation des yeux</w:t>
      </w:r>
    </w:p>
    <w:p>
      <w:r>
        <w:t xml:space="preserve">  Conseils de prudence (GHS)                  : Se laver les mains, les avant-bras et le visage soigneusement après</w:t>
      </w:r>
    </w:p>
    <w:p>
      <w:r>
        <w:t xml:space="preserve">                                           manipulation. Porter des gants de protection/des vêtements de</w:t>
      </w:r>
    </w:p>
    <w:p>
      <w:r>
        <w:t xml:space="preserve">                                            protection/un équipement de protection des yeux/du visage. EN CAS DE</w:t>
      </w:r>
    </w:p>
    <w:p>
      <w:r>
        <w:t xml:space="preserve">                            CONTACT AVEC LA PEAU: Laver abondamment à l’eau. En cas d’irritation</w:t>
      </w:r>
    </w:p>
    <w:p>
      <w:r>
        <w:t xml:space="preserve">                                         cutanée: Consulter un médecin. Enlever les vêtements contaminés et les</w:t>
      </w:r>
    </w:p>
    <w:p>
      <w:r>
        <w:t xml:space="preserve">                                             laver avant réutilisation.EN CAS DE CONTACT AVEC LES YEUX: rincer</w:t>
      </w:r>
    </w:p>
    <w:p>
      <w:r>
        <w:t xml:space="preserve">                                     avec précaution à l’eau pendant plusieurs minutes. Enlever les lentilles de</w:t>
      </w:r>
    </w:p>
    <w:p>
      <w:r>
        <w:t xml:space="preserve">                                           contact si la victime en porte et si elles peuvent être facilement enlevées. Si</w:t>
      </w:r>
    </w:p>
    <w:p>
      <w:r>
        <w:t xml:space="preserve">                                                           l’irritation oculaire persiste: Consulter un médecin.</w:t>
      </w:r>
    </w:p>
    <w:p>
      <w:r>
        <w:t xml:space="preserve"/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2.4.    Toxicité aiguë inconnue</w:t>
      </w:r>
    </w:p>
    <w:p>
      <w:r>
        <w:t xml:space="preserve">  Non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 FR-CA (Français - CA)                                         1/7</w:t>
      </w:r>
    </w:p>
    <w:p>
      <w:r>
        <w:rPr>
          <w:b/>
        </w:rPr>
        <w:t xml:space="preserve">Page 2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3 : Composition/information sur les ingrédients</w:t>
      </w:r>
    </w:p>
    <w:p>
      <w:r>
        <w:t xml:space="preserve"> 3.1.   Substances</w:t>
      </w:r>
    </w:p>
    <w:p>
      <w:r>
        <w:t xml:space="preserve"> Non applicable</w:t>
      </w:r>
    </w:p>
    <w:p>
      <w:r>
        <w:t xml:space="preserve"/>
      </w:r>
    </w:p>
    <w:p>
      <w:r>
        <w:t xml:space="preserve"> 3.2.   Mélanges</w:t>
      </w:r>
    </w:p>
    <w:p>
      <w:r>
        <w:t xml:space="preserve"/>
      </w:r>
    </w:p>
    <w:p>
      <w:r>
        <w:t xml:space="preserve">  Nom                                                                  Identificateur de produit  % (en poids)</w:t>
      </w:r>
    </w:p>
    <w:p>
      <w:r>
        <w:t xml:space="preserve">   Acide nitrique                                                            (n° CAS) 7697-37-2          2,0</w:t>
      </w:r>
    </w:p>
    <w:p>
      <w:r>
        <w:t xml:space="preserve">   Trioxyde de digadolinium                                                (n° CAS) 12064-62-9         0,1</w:t>
      </w:r>
    </w:p>
    <w:p>
      <w:r>
        <w:t xml:space="preserve"/>
      </w:r>
    </w:p>
    <w:p>
      <w:r>
        <w:t xml:space="preserve"> SECTION 4 : Premiers secours</w:t>
      </w:r>
    </w:p>
    <w:p>
      <w:r>
        <w:t xml:space="preserve"> 4.1.    Description des premiers secours</w:t>
      </w:r>
    </w:p>
    <w:p>
      <w:r>
        <w:t xml:space="preserve">  Premiers soins après inhalation              :  S'il y a difficulté à respirer, transporter la victime à l'extérieur et la maintenir</w:t>
      </w:r>
    </w:p>
    <w:p>
      <w:r>
        <w:t xml:space="preserve">                                   au repos dans une position où elle peut confortablement respirer. Consulter</w:t>
      </w:r>
    </w:p>
    <w:p>
      <w:r>
        <w:t xml:space="preserve">                                   un médecin en cas de malaise.</w:t>
      </w:r>
    </w:p>
    <w:p>
      <w:r>
        <w:t xml:space="preserve">  Premiers soins après contact avec la     : EN CAS DE CONTACT AVEC LA PEAU: Laver abondamment à l’eau.</w:t>
      </w:r>
    </w:p>
    <w:p>
      <w:r>
        <w:t xml:space="preserve">  peau                                  Enlever les vêtements contaminés et les laver avant réutilisation. En cas</w:t>
      </w:r>
    </w:p>
    <w:p>
      <w:r>
        <w:t xml:space="preserve">                                                      d’irritation cutanée: Consulter un médecin.</w:t>
      </w:r>
    </w:p>
    <w:p>
      <w:r>
        <w:t xml:space="preserve">  Premiers soins après contact oculaire    : EN CAS DE CONTACT AVEC LES YEUX: Rincer avec précaution à l’eau</w:t>
      </w:r>
    </w:p>
    <w:p>
      <w:r>
        <w:t xml:space="preserve">                                      pendant plusieurs minutes. Enlever les lentilles de contact si la victime en</w:t>
      </w:r>
    </w:p>
    <w:p>
      <w:r>
        <w:t xml:space="preserve">                                           porte et si elles peuvent être facilement enlevées. Continuer à rincer. Si</w:t>
      </w:r>
    </w:p>
    <w:p>
      <w:r>
        <w:t xml:space="preserve">                                                           l’irritation oculaire persiste: Consulter un médecin.</w:t>
      </w:r>
    </w:p>
    <w:p>
      <w:r>
        <w:t xml:space="preserve">  Premiers soins après ingestion               : Si le produit a été ingéré, ne PAS provoquer le vomissement à moins que</w:t>
      </w:r>
    </w:p>
    <w:p>
      <w:r>
        <w:t xml:space="preserve">                                            ceci ait été demandé par du personnel médical. Ne jamais administrer quoi</w:t>
      </w:r>
    </w:p>
    <w:p>
      <w:r>
        <w:t xml:space="preserve">                                   que ce soit par voie orale à une personne inconsciente. Consulter un</w:t>
      </w:r>
    </w:p>
    <w:p>
      <w:r>
        <w:t xml:space="preserve">                                    médecin en cas de malaise.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 Symptômes/effets après inhalation         : Peut causer une irritation des voies respiratoires.</w:t>
      </w:r>
    </w:p>
    <w:p>
      <w:r>
        <w:t xml:space="preserve">  Symptômes/effets après contact avec    : Provoque une irritation cutanée. Les symptômes peuvent inclure des</w:t>
      </w:r>
    </w:p>
    <w:p>
      <w:r>
        <w:t xml:space="preserve">   la peau                                 rougeurs, des dessèchements, une délipidation et une gerçure de la peau.</w:t>
      </w:r>
    </w:p>
    <w:p>
      <w:r>
        <w:t xml:space="preserve">  Symptômes/effets après contact             : Provoque une sévère irritation des yeux. Les symptômes peuvent inclure un</w:t>
      </w:r>
    </w:p>
    <w:p>
      <w:r>
        <w:t xml:space="preserve">  oculaire                                   inconfort ou des douleurs, un clignement excessif des paupières et une</w:t>
      </w:r>
    </w:p>
    <w:p>
      <w:r>
        <w:t xml:space="preserve">                                          production excessive de larmes, avec une rougeur prononcée et un</w:t>
      </w:r>
    </w:p>
    <w:p>
      <w:r>
        <w:t xml:space="preserve">                                        gonflement de la conjonctive.</w:t>
      </w:r>
    </w:p>
    <w:p>
      <w:r>
        <w:t xml:space="preserve">  Symptômes/effets après ingestion          : Peut être nocif en cas d'ingestion. Peut causer un malaise gastro-intestinal,</w:t>
      </w:r>
    </w:p>
    <w:p>
      <w:r>
        <w:t xml:space="preserve">                                     des nausées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</w:t>
      </w:r>
    </w:p>
    <w:p>
      <w:r>
        <w:t xml:space="preserve"> un médecin (si possible, lui montrer l'étiquette ou la fiche de données de sécurité).</w:t>
      </w:r>
    </w:p>
    <w:p>
      <w:r>
        <w:t xml:space="preserve"/>
      </w:r>
    </w:p>
    <w:p>
      <w:r>
        <w:t xml:space="preserve"> SECTION 5 : Mesures de lutte contre l’incendie</w:t>
      </w:r>
    </w:p>
    <w:p>
      <w:r>
        <w:t xml:space="preserve"> 5.1.   Moyens d’extinction</w:t>
      </w:r>
    </w:p>
    <w:p>
      <w:r>
        <w:t xml:space="preserve">  Moyens d'extinction appropriés               : Traiter pour les matériaux environnants.</w:t>
      </w:r>
    </w:p>
    <w:p>
      <w:r>
        <w:t xml:space="preserve"> 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 Danger d'incendie                                   : Les produits de combustion peuvent inclure, sans s’y limiter : oxydes de</w:t>
      </w:r>
    </w:p>
    <w:p>
      <w:r>
        <w:t xml:space="preserve">                                        carbone. Oxydes d'azote.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 Protection en cas d'incendie                   : Rester en amont du vent par rapport à l'incendie. Porter un habit pare feu</w:t>
      </w:r>
    </w:p>
    <w:p>
      <w:r>
        <w:t xml:space="preserve">                                       complet incluant un équipement de respiration (SCBA).</w:t>
      </w:r>
    </w:p>
    <w:p>
      <w:r>
        <w:t xml:space="preserve"/>
      </w:r>
    </w:p>
    <w:p>
      <w:r>
        <w:t xml:space="preserve">  2019-08-26                          FR-CA (Français - CA)                                          2/7</w:t>
      </w:r>
    </w:p>
    <w:p>
      <w:r>
        <w:rPr>
          <w:b/>
        </w:rPr>
        <w:t xml:space="preserve">Page 3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</w:t>
      </w:r>
    </w:p>
    <w:p>
      <w:r>
        <w:t xml:space="preserve">                                             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 Pour le confinement                                : Contenir et/ou absorber le déversement avec une substance inerte (par ex.</w:t>
      </w:r>
    </w:p>
    <w:p>
      <w:r>
        <w:t xml:space="preserve">                                   du sable ou de la vermiculite) puis placer ensuite dans un conteneur adapté.</w:t>
      </w:r>
    </w:p>
    <w:p>
      <w:r>
        <w:t xml:space="preserve">                               Ne pas déverser dans des eaux de surface ou dans les égouts. Porter</w:t>
      </w:r>
    </w:p>
    <w:p>
      <w:r>
        <w:t xml:space="preserve">                                          l'équipement de protection individuelle recommandé.</w:t>
      </w:r>
    </w:p>
    <w:p>
      <w:r>
        <w:t xml:space="preserve">  Procédés de nettoyage                           : Déblayer la substance avec une pelle et la placer dans un conteneur de</w:t>
      </w:r>
    </w:p>
    <w:p>
      <w:r>
        <w:t xml:space="preserve">                                            récupération. Ventiler la zone.</w:t>
      </w:r>
    </w:p>
    <w:p>
      <w:r>
        <w:t xml:space="preserve"/>
      </w:r>
    </w:p>
    <w:p>
      <w:r>
        <w:t xml:space="preserve"> 6.3.    Référence à d'autres rubriques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l’élimination.</w:t>
      </w:r>
    </w:p>
    <w:p>
      <w:r>
        <w:t xml:space="preserve"/>
      </w:r>
    </w:p>
    <w:p>
      <w:r>
        <w:t xml:space="preserve"> SECTION 7 : Manutention et stockage</w:t>
      </w:r>
    </w:p>
    <w:p>
      <w:r>
        <w:t xml:space="preserve"> 7.1.    Précautions à prendre pour une manipulation sans danger</w:t>
      </w:r>
    </w:p>
    <w:p>
      <w:r>
        <w:t xml:space="preserve">  Précautions à prendre pour une             : Éviter le contact avec la peau et les yeux. Éviter de respirer les</w:t>
      </w:r>
    </w:p>
    <w:p>
      <w:r>
        <w:t xml:space="preserve">  manipulation sans danger                poussières/fumées/gaz/brouillards/vapeurs/aérosols. Ne pas avaler.</w:t>
      </w:r>
    </w:p>
    <w:p>
      <w:r>
        <w:t xml:space="preserve">                                        Manipuler et ouvrir le récipient avec prudence. Ne pas manger, ne pas boire</w:t>
      </w:r>
    </w:p>
    <w:p>
      <w:r>
        <w:t xml:space="preserve">                                               et ne pas fumer pendant l'utilisation.</w:t>
      </w:r>
    </w:p>
    <w:p>
      <w:r>
        <w:t xml:space="preserve">  Mesures d'hygiène                                  : Lessiver les vêtements contaminés avant de les réutiliser. Bien se laver les</w:t>
      </w:r>
    </w:p>
    <w:p>
      <w:r>
        <w:t xml:space="preserve">                                        mains, les avant-bras et le visage après la manipulation.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 Conditions d’entreposage                       : Conserver hors de la portée des enfants. Maintenir le récipient fermé de</w:t>
      </w:r>
    </w:p>
    <w:p>
      <w:r>
        <w:t xml:space="preserve">                                      manière étanche. Stocker dans un endroit bien ventilé. Tenir au frais.</w:t>
      </w:r>
    </w:p>
    <w:p>
      <w:r>
        <w:t xml:space="preserve">                                      Conserver à l'écart des bases (fortes)</w:t>
      </w:r>
    </w:p>
    <w:p>
      <w:r>
        <w:t xml:space="preserve"/>
      </w:r>
    </w:p>
    <w:p>
      <w:r>
        <w:t xml:space="preserve"> SECTION 8 : Contrôle de l’exposition/protection individuelle</w:t>
      </w:r>
    </w:p>
    <w:p>
      <w:r>
        <w:t xml:space="preserve"> 8.1.   Paramètres de contrôle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ACGIH             ACGIH TWA (ppm)                      2 ppm</w:t>
      </w:r>
    </w:p>
    <w:p>
      <w:r>
        <w:t xml:space="preserve"/>
      </w:r>
    </w:p>
    <w:p>
      <w:r>
        <w:t xml:space="preserve"> 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 IDLH             US IDLH (ppm)                         25 ppm</w:t>
      </w:r>
    </w:p>
    <w:p>
      <w:r>
        <w:t xml:space="preserve"/>
      </w:r>
    </w:p>
    <w:p>
      <w:r>
        <w:t xml:space="preserve">   NIOSH             NIOSH REL (TWA) (mg/m³)               5 mg/m³</w:t>
      </w:r>
    </w:p>
    <w:p>
      <w:r>
        <w:t xml:space="preserve"/>
      </w:r>
    </w:p>
    <w:p>
      <w:r>
        <w:t xml:space="preserve">   NIOSH             NIOSH REL (TWA) (ppm)                2 ppm</w:t>
      </w:r>
    </w:p>
    <w:p>
      <w:r>
        <w:t xml:space="preserve"/>
      </w:r>
    </w:p>
    <w:p>
      <w:r>
        <w:t xml:space="preserve">   NIOSH             NIOSH REL (STEL) (mg/m³)              10 mg/m³</w:t>
      </w:r>
    </w:p>
    <w:p>
      <w:r>
        <w:t xml:space="preserve"/>
      </w:r>
    </w:p>
    <w:p>
      <w:r>
        <w:t xml:space="preserve">   NIOSH             NIOSH REL (STEL) (ppm)                4 ppm</w:t>
      </w:r>
    </w:p>
    <w:p>
      <w:r>
        <w:t xml:space="preserve"/>
      </w:r>
    </w:p>
    <w:p>
      <w:r>
        <w:t xml:space="preserve">   Trioxyde de digadolinium (12064-62-9)</w:t>
      </w:r>
    </w:p>
    <w:p>
      <w:r>
        <w:t xml:space="preserve">   ACGIH               Sans objet</w:t>
      </w:r>
    </w:p>
    <w:p>
      <w:r>
        <w:t xml:space="preserve"/>
      </w:r>
    </w:p>
    <w:p>
      <w:r>
        <w:t xml:space="preserve">  OSHA                Sans objet</w:t>
      </w:r>
    </w:p>
    <w:p>
      <w:r>
        <w:t xml:space="preserve"/>
      </w:r>
    </w:p>
    <w:p>
      <w:r>
        <w:t xml:space="preserve">   IDLH                 Sans objet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3/7</w:t>
      </w:r>
    </w:p>
    <w:p>
      <w:r>
        <w:rPr>
          <w:b/>
        </w:rPr>
        <w:t xml:space="preserve">Page 4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 Trioxyde de digadolinium (12064-62-9)</w:t>
      </w:r>
    </w:p>
    <w:p>
      <w:r>
        <w:t xml:space="preserve">   NIOSH               Sans objet</w:t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 Contrôles techniques appropriés            : Assurer une bonne ventilation du poste de travail.</w:t>
      </w:r>
    </w:p>
    <w:p>
      <w:r>
        <w:t xml:space="preserve">  Protection des mains                              : Porter des gants appropriés résistant aux produits chimiques.</w:t>
      </w:r>
    </w:p>
    <w:p>
      <w:r>
        <w:t xml:space="preserve">  Protection oculaire                                  : Porter un appareil de protection des yeux/du visage.</w:t>
      </w:r>
    </w:p>
    <w:p>
      <w:r>
        <w:t xml:space="preserve">  Protection de la peau et du corps           : Porter un vêtement de protection approprié.</w:t>
      </w:r>
    </w:p>
    <w:p>
      <w:r>
        <w:t xml:space="preserve">  Protection des voies respiratoires           : En cas de ventilation insuffisante, porter un appareil respiratoire approprié.</w:t>
      </w:r>
    </w:p>
    <w:p>
      <w:r>
        <w:t xml:space="preserve">                                   Le choix de l'appareil de protection respiratoire doit être fondé sur les</w:t>
      </w:r>
    </w:p>
    <w:p>
      <w:r>
        <w:t xml:space="preserve">                                        niveaux d'expositions prévus ou connus, les dangers du produit et les</w:t>
      </w:r>
    </w:p>
    <w:p>
      <w:r>
        <w:t xml:space="preserve">                                                 limites d'utilisation sans danger de l'appareil de protection respiratoire</w:t>
      </w:r>
    </w:p>
    <w:p>
      <w:r>
        <w:t xml:space="preserve">                                            retenu.</w:t>
      </w:r>
    </w:p>
    <w:p>
      <w:r>
        <w:t xml:space="preserve">  Contrôle de l'exposition de                      : Maintenir les niveaux sous les seuils de la protection environnementale de</w:t>
      </w:r>
    </w:p>
    <w:p>
      <w:r>
        <w:t xml:space="preserve">  l'environnement                              la communauté.</w:t>
      </w:r>
    </w:p>
    <w:p>
      <w:r>
        <w:t xml:space="preserve">  Autres informations                                 : Ne pas manger, fumer ou boire là où la substance est manipulée, traitée ou</w:t>
      </w:r>
    </w:p>
    <w:p>
      <w:r>
        <w:t xml:space="preserve">                                            stockée. Se laver les mains minutieusement avant de manger ou de fumer. À</w:t>
      </w:r>
    </w:p>
    <w:p>
      <w:r>
        <w:t xml:space="preserve">                                          manipuler selon les pratiques de sécurité et d'hygiène industrielles établies.</w:t>
      </w:r>
    </w:p>
    <w:p>
      <w:r>
        <w:t xml:space="preserve"/>
      </w:r>
    </w:p>
    <w:p>
      <w:r>
        <w:t xml:space="preserve"> SECTION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 État physique                                            : Liquide</w:t>
      </w:r>
    </w:p>
    <w:p>
      <w:r>
        <w:t xml:space="preserve">  Apparence                                                : Liquide incolore.</w:t>
      </w:r>
    </w:p>
    <w:p>
      <w:r>
        <w:t xml:space="preserve">  Couleur                                                     : Incolore</w:t>
      </w:r>
    </w:p>
    <w:p>
      <w:r>
        <w:t xml:space="preserve">  Odeur                                                       : Aucune donnée disponible</w:t>
      </w:r>
    </w:p>
    <w:p>
      <w:r>
        <w:t xml:space="preserve">  Seuil olfactif                                              : Aucune donnée disponible</w:t>
      </w:r>
    </w:p>
    <w:p>
      <w:r>
        <w:t xml:space="preserve">  pH                                                             : Aucune donnée disponible</w:t>
      </w:r>
    </w:p>
    <w:p>
      <w:r>
        <w:t xml:space="preserve">  Point de fusion                                          : Aucune donnée disponible</w:t>
      </w:r>
    </w:p>
    <w:p>
      <w:r>
        <w:t xml:space="preserve">  Point de congélation                                 : Aucune donnée disponible</w:t>
      </w:r>
    </w:p>
    <w:p>
      <w:r>
        <w:t xml:space="preserve">  Point d'ébullition                                       : Aucune donnée disponible</w:t>
      </w:r>
    </w:p>
    <w:p>
      <w:r>
        <w:t xml:space="preserve">  Point d'éclair                                             : Aucune donnée disponible</w:t>
      </w:r>
    </w:p>
    <w:p>
      <w:r>
        <w:t xml:space="preserve">  Vitesse d'évaporation relative (acétate    : Aucune donnée disponible</w:t>
      </w:r>
    </w:p>
    <w:p>
      <w:r>
        <w:t xml:space="preserve">  de butyle=1)</w:t>
      </w:r>
    </w:p>
    <w:p>
      <w:r>
        <w:t xml:space="preserve">  Inflammabilité (solide, gaz)                       : Non inflammable.</w:t>
      </w:r>
    </w:p>
    <w:p>
      <w:r>
        <w:t xml:space="preserve">  Pression de la vapeur                               : Aucune donnée disponible</w:t>
      </w:r>
    </w:p>
    <w:p>
      <w:r>
        <w:t xml:space="preserve">  Densité relative de la vapeur à 20 °C       : Aucune donnée disponible</w:t>
      </w:r>
    </w:p>
    <w:p>
      <w:r>
        <w:t xml:space="preserve">  Densité relative                                         : Aucune donnée disponible</w:t>
      </w:r>
    </w:p>
    <w:p>
      <w:r>
        <w:t xml:space="preserve">   Solubilité                                                   : Complètement soluble</w:t>
      </w:r>
    </w:p>
    <w:p>
      <w:r>
        <w:t xml:space="preserve">  Coefficient de partage n-octanol/eau       : Aucune donnée disponible</w:t>
      </w:r>
    </w:p>
    <w:p>
      <w:r>
        <w:t xml:space="preserve">  Température d'auto-inflammation            : Aucune donnée disponible</w:t>
      </w:r>
    </w:p>
    <w:p>
      <w:r>
        <w:t xml:space="preserve">  Température de décomposition                : Aucune donnée disponible</w:t>
      </w:r>
    </w:p>
    <w:p>
      <w:r>
        <w:t xml:space="preserve">  Viscosité, cinématique                              : Aucune donnée disponible</w:t>
      </w:r>
    </w:p>
    <w:p>
      <w:r>
        <w:t xml:space="preserve">  Viscosité, dynamique                               : Aucune donnée disponible</w:t>
      </w:r>
    </w:p>
    <w:p>
      <w:r>
        <w:t xml:space="preserve">  Limites d'explosivité                                 : Aucune donnée disponible</w:t>
      </w:r>
    </w:p>
    <w:p>
      <w:r>
        <w:t xml:space="preserve">  Propriétés explosives                               : Aucune donnée disponible</w:t>
      </w:r>
    </w:p>
    <w:p>
      <w:r>
        <w:t xml:space="preserve">  Propriétés comburantes                           : Aucune donnée disponible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4/7</w:t>
      </w:r>
    </w:p>
    <w:p>
      <w:r>
        <w:rPr>
          <w:b/>
        </w:rPr>
        <w:t xml:space="preserve">Page 5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9.2.    Autres informations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10 : Stabilité et réactivité</w:t>
      </w:r>
    </w:p>
    <w:p>
      <w:r>
        <w:t xml:space="preserve"> 10.1.   Réactivité</w:t>
      </w:r>
    </w:p>
    <w:p>
      <w:r>
        <w:t xml:space="preserve"> Aucun, dans les conditions normales d'utilisation.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Aucun connu.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Bases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Peut inclure, sans s’y limiter : oxydes de carbone. Oxydes d'azote.</w:t>
      </w:r>
    </w:p>
    <w:p>
      <w:r>
        <w:t xml:space="preserve"/>
      </w:r>
    </w:p>
    <w:p>
      <w:r>
        <w:t xml:space="preserve"> SECTION 11 : Données toxicologiques</w:t>
      </w:r>
    </w:p>
    <w:p>
      <w:r>
        <w:t xml:space="preserve"> 11.1.   Informations sur les effets toxicologiques</w:t>
      </w:r>
    </w:p>
    <w:p>
      <w:r>
        <w:t xml:space="preserve"/>
      </w:r>
    </w:p>
    <w:p>
      <w:r>
        <w:t xml:space="preserve">  Toxicité Aiguë (voie orale)                      : Non classé</w:t>
      </w:r>
    </w:p>
    <w:p>
      <w:r>
        <w:t xml:space="preserve">  Toxicité Aiguë (voie cutanée)                  : Non classé</w:t>
      </w:r>
    </w:p>
    <w:p>
      <w:r>
        <w:t xml:space="preserve">  Toxicité aigüe (inhalation)                       : Non classé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CL50 inhalation rat                  1610,68 mg/m³</w:t>
      </w:r>
    </w:p>
    <w:p>
      <w:r>
        <w:t xml:space="preserve">   CL50 inhalation rat                 2500 ppm/1h</w:t>
      </w:r>
    </w:p>
    <w:p>
      <w:r>
        <w:t xml:space="preserve"/>
      </w:r>
    </w:p>
    <w:p>
      <w:r>
        <w:t xml:space="preserve">   Trioxyde de digadolinium (12064-62-9)</w:t>
      </w:r>
    </w:p>
    <w:p>
      <w:r>
        <w:t xml:space="preserve">   DL50 orale rat                    &gt; 5 g/kg</w:t>
      </w:r>
    </w:p>
    <w:p>
      <w:r>
        <w:t xml:space="preserve">  Corrosion cutanée/irritation cutanée       : Provoque une irritation cutanée.</w:t>
      </w:r>
    </w:p>
    <w:p>
      <w:r>
        <w:t xml:space="preserve">  Lésions oculaires graves/irritation           : Provoque une sévère irritation des yeux.</w:t>
      </w:r>
    </w:p>
    <w:p>
      <w:r>
        <w:t xml:space="preserve">  oculaire</w:t>
      </w:r>
    </w:p>
    <w:p>
      <w:r>
        <w:t xml:space="preserve">  Sensibilisation respiratoire ou cutanée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  Mutagénicité sur les cellules                   : Compte tenu des données disponibles, les critères de classification ne sont</w:t>
      </w:r>
    </w:p>
    <w:p>
      <w:r>
        <w:t xml:space="preserve">  germinales                          pas remplis.</w:t>
      </w:r>
    </w:p>
    <w:p>
      <w:r>
        <w:t xml:space="preserve">  Cancérogénicité                   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  Toxicité pour la reproduction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  Toxicité spécifique pour certains             : Compte tenu des données disponibles, les critères de classification ne sont</w:t>
      </w:r>
    </w:p>
    <w:p>
      <w:r>
        <w:t xml:space="preserve">  organes cibles (exposition unique)      pas remplis.</w:t>
      </w:r>
    </w:p>
    <w:p>
      <w:r>
        <w:t xml:space="preserve">   Toxicité spécifique pour certains              : Compte tenu des données disponibles, les critères de classification ne sont</w:t>
      </w:r>
    </w:p>
    <w:p>
      <w:r>
        <w:t xml:space="preserve">  organes cibles (exposition répétée)      pas remplis.</w:t>
      </w:r>
    </w:p>
    <w:p>
      <w:r>
        <w:t xml:space="preserve">  Danger par aspiration          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  Symptômes/effets après inhalation         : Peut causer une irritation des voies respiratoires.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5/7</w:t>
      </w:r>
    </w:p>
    <w:p>
      <w:r>
        <w:rPr>
          <w:b/>
        </w:rPr>
        <w:t xml:space="preserve">Page 6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Symptômes/effets après contact avec    : Provoque une irritation cutanée. Les symptômes peuvent inclure des</w:t>
      </w:r>
    </w:p>
    <w:p>
      <w:r>
        <w:t xml:space="preserve">   la peau                                 rougeurs, des dessèchements, une délipidation et une gerçure de la peau.</w:t>
      </w:r>
    </w:p>
    <w:p>
      <w:r>
        <w:t xml:space="preserve">  Symptômes/effets après contact             : Provoque une sévère irritation des yeux. Les symptômes peuvent inclure un</w:t>
      </w:r>
    </w:p>
    <w:p>
      <w:r>
        <w:t xml:space="preserve">  oculaire                                   inconfort ou des douleurs, un clignement excessif des paupières et une</w:t>
      </w:r>
    </w:p>
    <w:p>
      <w:r>
        <w:t xml:space="preserve">                                          production excessive de larmes, avec une rougeur prononcée et un</w:t>
      </w:r>
    </w:p>
    <w:p>
      <w:r>
        <w:t xml:space="preserve">                                        gonflement de la conjonctive.</w:t>
      </w:r>
    </w:p>
    <w:p>
      <w:r>
        <w:t xml:space="preserve">  Symptômes/effets après ingestion          : Peut être nocif en cas d'ingestion. Peut causer un malaise gastro-intestinal,</w:t>
      </w:r>
    </w:p>
    <w:p>
      <w:r>
        <w:t xml:space="preserve">                                     des nausées ou des vomissements.</w:t>
      </w:r>
    </w:p>
    <w:p>
      <w:r>
        <w:t xml:space="preserve">  Autres informations                                 : Voies d'exposition possibles : ingestion, inhalation, peau et yeux.</w:t>
      </w:r>
    </w:p>
    <w:p>
      <w:r>
        <w:t xml:space="preserve"/>
      </w:r>
    </w:p>
    <w:p>
      <w:r>
        <w:t xml:space="preserve"> SECTION 12 : Données écologiques</w:t>
      </w:r>
    </w:p>
    <w:p>
      <w:r>
        <w:t xml:space="preserve"> 12.1.   Toxicité</w:t>
      </w:r>
    </w:p>
    <w:p>
      <w:r>
        <w:t xml:space="preserve">  Écologie - général                                   : Peut entraîner des effets néfastes à long terme pour l'environnement</w:t>
      </w:r>
    </w:p>
    <w:p>
      <w:r>
        <w:t xml:space="preserve">                                          aquatique.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GADS</w:t>
      </w:r>
    </w:p>
    <w:p>
      <w:r>
        <w:t xml:space="preserve">   Persistance et dégradabilité         Non établi.</w:t>
      </w:r>
    </w:p>
    <w:p>
      <w:r>
        <w:t xml:space="preserve"/>
      </w:r>
    </w:p>
    <w:p>
      <w:r>
        <w:t xml:space="preserve"> 12.3.   Potentiel de bioaccumulation</w:t>
      </w:r>
    </w:p>
    <w:p>
      <w:r>
        <w:t xml:space="preserve">  GADS</w:t>
      </w:r>
    </w:p>
    <w:p>
      <w:r>
        <w:t xml:space="preserve">    Potentiel de bioaccumulation        Non établi.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 Coefficient de partage n-octanol/eau    -2,3 (à 25 °C)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> 12.5.   Autres effets néfastes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13 : Données sur l’élimination</w:t>
      </w:r>
    </w:p>
    <w:p>
      <w:r>
        <w:t xml:space="preserve"> 13.1.  Méthodes de traitement des déchets</w:t>
      </w:r>
    </w:p>
    <w:p>
      <w:r>
        <w:t xml:space="preserve">  Recommandations relatives à                 : Ces matériaux doivent être éliminés dans le respect de toutes les</w:t>
      </w:r>
    </w:p>
    <w:p>
      <w:r>
        <w:t xml:space="preserve">   l'élimination du produit ou de            réglementations locales, régionales, provinciales et fédérales. Il est</w:t>
      </w:r>
    </w:p>
    <w:p>
      <w:r>
        <w:t xml:space="preserve">  l'emballage                       recommandé d'éviter ou réduire autant que possible la production de</w:t>
      </w:r>
    </w:p>
    <w:p>
      <w:r>
        <w:t xml:space="preserve">                                          déchets.</w:t>
      </w:r>
    </w:p>
    <w:p>
      <w:r>
        <w:t xml:space="preserve"/>
      </w:r>
    </w:p>
    <w:p>
      <w:r>
        <w:t xml:space="preserve"> SECTION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de DOT/TMD</w:t>
      </w:r>
    </w:p>
    <w:p>
      <w:r>
        <w:t xml:space="preserve"> Non réglementé pour le transport</w:t>
      </w:r>
    </w:p>
    <w:p>
      <w:r>
        <w:t xml:space="preserve"> Indications complémentaires</w:t>
      </w:r>
    </w:p>
    <w:p>
      <w:r>
        <w:t xml:space="preserve">  Autres informations                                 : Aucune information supplémentaire disponible</w:t>
      </w:r>
    </w:p>
    <w:p>
      <w:r>
        <w:t xml:space="preserve">  Mesures de précautions pour le              : Ne pas manipuler avant d’avoir lu et compris toutes les précautions de</w:t>
      </w:r>
    </w:p>
    <w:p>
      <w:r>
        <w:t xml:space="preserve">  transport                                   sécurité.</w:t>
      </w:r>
    </w:p>
    <w:p>
      <w:r>
        <w:t xml:space="preserve"/>
      </w:r>
    </w:p>
    <w:p>
      <w:r>
        <w:t xml:space="preserve"> SECTION 15 : Informations sur la réglementation</w:t>
      </w:r>
    </w:p>
    <w:p>
      <w:r>
        <w:t xml:space="preserve"> 15.1. Réglementations fédérales</w:t>
      </w:r>
    </w:p>
    <w:p>
      <w:r>
        <w:t xml:space="preserve"/>
      </w:r>
    </w:p>
    <w:p>
      <w:r>
        <w:t xml:space="preserve">   Tous les composants de ce produit figurent à l’inventaire de la Toxic Substances Control Act (TSCA) de</w:t>
      </w:r>
    </w:p>
    <w:p>
      <w:r>
        <w:t xml:space="preserve">    l’Environmental Protection Agency des États-Unis (ou en sont exclus).</w:t>
      </w:r>
    </w:p>
    <w:p>
      <w:r>
        <w:t xml:space="preserve"/>
      </w:r>
    </w:p>
    <w:p>
      <w:r>
        <w:t xml:space="preserve">  2019-08-26                          FR-CA (Français - CA)                                          6/7</w:t>
      </w:r>
    </w:p>
    <w:p>
      <w:r>
        <w:rPr>
          <w:b/>
        </w:rPr>
        <w:t xml:space="preserve">Page 7</w:t>
      </w:r>
    </w:p>
    <w:p>
      <w:r>
        <w:t xml:space="preserve">GADS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 Tous les composants de ce produit figurent aux inventaires canadiens LIS (Liste intérieure des substances) et LES</w:t>
      </w:r>
    </w:p>
    <w:p>
      <w:r>
        <w:t xml:space="preserve">    (Liste extérieure des substances) (ou en sont exclus).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 Listé dans la Section 302 du SARA des Etats-Unis (substances dangereuses)</w:t>
      </w:r>
    </w:p>
    <w:p>
      <w:r>
        <w:t xml:space="preserve">   Soumis aux exigences de déclaration de la Loi SARA Section 313 des États-Unis</w:t>
      </w:r>
    </w:p>
    <w:p>
      <w:r>
        <w:t xml:space="preserve">  CERCLA RQ                      1000 lb</w:t>
      </w:r>
    </w:p>
    <w:p>
      <w:r>
        <w:t xml:space="preserve">    Loi SARA Section 302, États-Unis,     1000 lb</w:t>
      </w:r>
    </w:p>
    <w:p>
      <w:r>
        <w:t xml:space="preserve">  TPQ (Seuil de procédure d'urgence)</w:t>
      </w:r>
    </w:p>
    <w:p>
      <w:r>
        <w:t xml:space="preserve">    Loi SARA Section 313, États-Unis –     1,0 %</w:t>
      </w:r>
    </w:p>
    <w:p>
      <w:r>
        <w:t xml:space="preserve">    Déclaration des émissions</w:t>
      </w:r>
    </w:p>
    <w:p>
      <w:r>
        <w:t xml:space="preserve"/>
      </w:r>
    </w:p>
    <w:p>
      <w:r>
        <w:t xml:space="preserve"> 15.2. Réglementation des États – É.-U.</w:t>
      </w:r>
    </w:p>
    <w:p>
      <w:r>
        <w:t xml:space="preserve"> Aucune information complémentaire disponible</w:t>
      </w:r>
    </w:p>
    <w:p>
      <w:r>
        <w:t xml:space="preserve"> SECTION 16 : Autres informations</w:t>
      </w:r>
    </w:p>
    <w:p>
      <w:r>
        <w:t xml:space="preserve">  Date d'émission                                       : 2019-08-26</w:t>
      </w:r>
    </w:p>
    <w:p>
      <w:r>
        <w:t xml:space="preserve">  Date de révision                                      : 2019-08-26</w:t>
      </w:r>
    </w:p>
    <w:p>
      <w:r>
        <w:t xml:space="preserve">  Autres informations                                 : Aucun.</w:t>
      </w:r>
    </w:p>
    <w:p>
      <w:r>
        <w:t xml:space="preserve">  Version                                                    : 1,0</w:t>
      </w:r>
    </w:p>
    <w:p>
      <w:r>
        <w:t xml:space="preserve">  Préparé par                                             : Nexreg Compliance Inc.</w:t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de données de sécurité ont été établis sur la base de nos</w:t>
      </w:r>
    </w:p>
    <w:p>
      <w:r>
        <w:t xml:space="preserve"> connaissances à la date de sa publication. Ils sont fournis uniquement à titre indicatif pour permettre la manipulation, la</w:t>
      </w:r>
    </w:p>
    <w:p>
      <w:r>
        <w:t xml:space="preserve"> fabrication, le stockage, le transport, la distribution, la mise à disposition, l’utilisation et l’élimination dudit produit dans des</w:t>
      </w:r>
    </w:p>
    <w:p>
      <w:r>
        <w:t xml:space="preserve"> conditions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7/7</w:t>
      </w:r>
    </w:p>
    <w:sectPr>
      <w:pgSz w:w="11906" w:h="16838"/>
      <w:pgMar w:top="1134" w:right="1134" w:bottom="1134" w:left="1134"/>
    </w:sectPr>
  </w:body>
</w:document>
</file>