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HIMO-1 matériau de référence certifié de molybdène de haute pureté FDS</w:t>
      </w:r>
    </w:p>
    <w:p>
      <w:r>
        <w:t xml:space="preserve">Publisher: Conseil national de recherches Canada</w:t>
      </w:r>
    </w:p>
    <w:p>
      <w:r>
        <w:t xml:space="preserve">Source: https://resds.com/document/himo-1-materiau-de-reference-certifie-de-molybdene-de-haute-purete-fiche-de-donnees-de-fr-a2ed54c1e5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>Date d'émission : 2025-07-31    Date de révision : 2025-07-31     Version : 1,0</w:t>
      </w:r>
    </w:p>
    <w:p>
      <w:r>
        <w:t xml:space="preserve"/>
      </w:r>
    </w:p>
    <w:p>
      <w:r>
        <w:t xml:space="preserve">SECTION 1: Identification</w:t>
      </w:r>
    </w:p>
    <w:p>
      <w:r>
        <w:t xml:space="preserve"/>
      </w:r>
    </w:p>
    <w:p>
      <w:r>
        <w:t xml:space="preserve">1.1. Identification</w:t>
      </w:r>
    </w:p>
    <w:p>
      <w:r>
        <w:t xml:space="preserve">Forme du produit                                         : Substance</w:t>
      </w:r>
    </w:p>
    <w:p>
      <w:r>
        <w:t xml:space="preserve">Nom de la substance                                   : HIMO</w:t>
      </w:r>
    </w:p>
    <w:p>
      <w:r>
        <w:t xml:space="preserve">n° CAS                                                         : 7439-98-7</w:t>
      </w:r>
    </w:p>
    <w:p>
      <w:r>
        <w:t xml:space="preserve">Formule brute                                              : Mo</w:t>
      </w:r>
    </w:p>
    <w:p>
      <w:r>
        <w:t xml:space="preserve">Nom chimique                                              : Molybdène</w:t>
      </w:r>
    </w:p>
    <w:p>
      <w:r>
        <w:t xml:space="preserve">1.2. Autres moyens d'identification</w:t>
      </w:r>
    </w:p>
    <w:p>
      <w:r>
        <w:t xml:space="preserve">Aucune information complémentaire disponible</w:t>
      </w:r>
    </w:p>
    <w:p>
      <w:r>
        <w:t xml:space="preserve"/>
      </w:r>
    </w:p>
    <w:p>
      <w:r>
        <w:t xml:space="preserve">1.3. Usage recommandé et restrictions d’utilisation</w:t>
      </w:r>
    </w:p>
    <w:p>
      <w:r>
        <w:t xml:space="preserve">Utilisation recommandée                             : Utilisation pour la recherche uniquement</w:t>
      </w:r>
    </w:p>
    <w:p>
      <w:r>
        <w:t xml:space="preserve"/>
      </w:r>
    </w:p>
    <w:p>
      <w:r>
        <w:t xml:space="preserve">1.4. Fournisseur</w:t>
      </w:r>
    </w:p>
    <w:p>
      <w:r>
        <w:t xml:space="preserve"> Conseil national de recherches Canada</w:t>
      </w:r>
    </w:p>
    <w:p>
      <w:r>
        <w:t xml:space="preserve"> 1200, chemin de Montréal</w:t>
      </w:r>
    </w:p>
    <w:p>
      <w:r>
        <w:t xml:space="preserve"> Ottawa (Ontario) Canada K1A 0R6</w:t>
      </w:r>
    </w:p>
    <w:p>
      <w:r>
        <w:t xml:space="preserve"> T 613-993-2359</w:t>
      </w:r>
    </w:p>
    <w:p>
      <w:r>
        <w:t xml:space="preserve">1.5. Numéro d’appel d’urgence</w:t>
      </w:r>
    </w:p>
    <w:p>
      <w:r>
        <w:t xml:space="preserve">Numéro d’appel d’urgence                          : CANUTEC 1-613-996-6666</w:t>
      </w:r>
    </w:p>
    <w:p>
      <w:r>
        <w:t xml:space="preserve"/>
      </w:r>
    </w:p>
    <w:p>
      <w:r>
        <w:t xml:space="preserve">SECTION 2: Identification des dangers</w:t>
      </w:r>
    </w:p>
    <w:p>
      <w:r>
        <w:t xml:space="preserve"/>
      </w:r>
    </w:p>
    <w:p>
      <w:r>
        <w:t xml:space="preserve">2.1. Classification de la substance ou du mélange</w:t>
      </w:r>
    </w:p>
    <w:p>
      <w:r>
        <w:t xml:space="preserve"/>
      </w:r>
    </w:p>
    <w:p>
      <w:r>
        <w:t xml:space="preserve">Classification GHS</w:t>
      </w:r>
    </w:p>
    <w:p>
      <w:r>
        <w:t xml:space="preserve">Non classé</w:t>
      </w:r>
    </w:p>
    <w:p>
      <w:r>
        <w:t xml:space="preserve">2.2. Éléments d'étiquetage SGH, y compris conseils de prudence</w:t>
      </w:r>
    </w:p>
    <w:p>
      <w:r>
        <w:t xml:space="preserve">Étiquetage GHS</w:t>
      </w:r>
    </w:p>
    <w:p>
      <w:r>
        <w:t xml:space="preserve">Étiquetage non applicable</w:t>
      </w:r>
    </w:p>
    <w:p>
      <w:r>
        <w:t xml:space="preserve">2.3. Dangers non classés ailleurs</w:t>
      </w:r>
    </w:p>
    <w:p>
      <w:r>
        <w:t xml:space="preserve">Aucune information complémentaire disponible</w:t>
      </w:r>
    </w:p>
    <w:p>
      <w:r>
        <w:t xml:space="preserve">2.4. Autres dangers non classés</w:t>
      </w:r>
    </w:p>
    <w:p>
      <w:r>
        <w:t xml:space="preserve">Aucune information complémentaire disponible</w:t>
      </w:r>
    </w:p>
    <w:p>
      <w:r>
        <w:t xml:space="preserve">2.5. Toxicité aiguë inconnue</w:t>
      </w:r>
    </w:p>
    <w:p>
      <w:r>
        <w:t xml:space="preserve"> Non applicable</w:t>
      </w:r>
    </w:p>
    <w:p>
      <w:r>
        <w:t xml:space="preserve"/>
      </w:r>
    </w:p>
    <w:p>
      <w:r>
        <w:t xml:space="preserve">SECTION 3: Composition/information sur les ingrédients</w:t>
      </w:r>
    </w:p>
    <w:p>
      <w:r>
        <w:t xml:space="preserve"/>
      </w:r>
    </w:p>
    <w:p>
      <w:r>
        <w:t xml:space="preserve">3.1. Substances</w:t>
      </w:r>
    </w:p>
    <w:p>
      <w:r>
        <w:t xml:space="preserve">Nom                                                             : HIMO</w:t>
      </w:r>
    </w:p>
    <w:p>
      <w:r>
        <w:t xml:space="preserve">n° CAS                                                         : 7439-98-7</w:t>
      </w:r>
    </w:p>
    <w:p>
      <w:r>
        <w:t xml:space="preserve"/>
      </w:r>
    </w:p>
    <w:p>
      <w:r>
        <w:t xml:space="preserve"/>
      </w:r>
    </w:p>
    <w:p>
      <w:r>
        <w:t xml:space="preserve">Nom                                                                    Identificateur de produit  % en poids</w:t>
      </w:r>
    </w:p>
    <w:p>
      <w:r>
        <w:t xml:space="preserve"/>
      </w:r>
    </w:p>
    <w:p>
      <w:r>
        <w:t xml:space="preserve"> Molybdène                                                           n° CAS: 7439-98-7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2025-07-31                           FR-CA (français - CA)                                            1/8</w:t>
      </w:r>
    </w:p>
    <w:p>
      <w:r>
        <w:rPr>
          <w:b/>
        </w:rPr>
        <w:t xml:space="preserve">Page 2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/>
      </w:r>
    </w:p>
    <w:p>
      <w:r>
        <w:t xml:space="preserve">3.2. Mélanges</w:t>
      </w:r>
    </w:p>
    <w:p>
      <w:r>
        <w:t xml:space="preserve">Non applicable</w:t>
      </w:r>
    </w:p>
    <w:p>
      <w:r>
        <w:t xml:space="preserve"/>
      </w:r>
    </w:p>
    <w:p>
      <w:r>
        <w:t xml:space="preserve">SECTION 4: Premiers soins</w:t>
      </w:r>
    </w:p>
    <w:p>
      <w:r>
        <w:t xml:space="preserve"/>
      </w:r>
    </w:p>
    <w:p>
      <w:r>
        <w:t xml:space="preserve">4.1. Description des mesures de premiers secours</w:t>
      </w:r>
    </w:p>
    <w:p>
      <w:r>
        <w:t xml:space="preserve">Premiers soins après inhalation                  :  S'il y a difficulté à respirer, transporter la victime à l'extérieur et la maintenir</w:t>
      </w:r>
    </w:p>
    <w:p>
      <w:r>
        <w:t xml:space="preserve">                                    au repos dans une position où elle peut confortablement respirer. Consulter</w:t>
      </w:r>
    </w:p>
    <w:p>
      <w:r>
        <w:t xml:space="preserve">                                    un médecin en cas de malaise.</w:t>
      </w:r>
    </w:p>
    <w:p>
      <w:r>
        <w:t xml:space="preserve">Premiers soins après contact avec la          : En cas d’irritation cutanée: Laver la peau avec beaucoup d'eau. Consulter un</w:t>
      </w:r>
    </w:p>
    <w:p>
      <w:r>
        <w:t xml:space="preserve">peau                                 médecin si l'irritation persiste.</w:t>
      </w:r>
    </w:p>
    <w:p>
      <w:r>
        <w:t xml:space="preserve">Premiers soins après contact oculaire        : EN CAS DE CONTACT AVEC LES YEUX: Rincer avec précaution à l’eau</w:t>
      </w:r>
    </w:p>
    <w:p>
      <w:r>
        <w:t xml:space="preserve">                                       pendant plusieurs minutes. Enlever les lentilles de contact si la victime en</w:t>
      </w:r>
    </w:p>
    <w:p>
      <w:r>
        <w:t xml:space="preserve">                                            porte et si elles peuvent être facilement enlevées. Continuer à rincer. Si</w:t>
      </w:r>
    </w:p>
    <w:p>
      <w:r>
        <w:t xml:space="preserve">                                                            l’irritation oculaire persiste: Consulter un médecin.</w:t>
      </w:r>
    </w:p>
    <w:p>
      <w:r>
        <w:t xml:space="preserve">Premiers soins après ingestion                   : Ne pas faire vomir sans l'avis d'un médecin. Ne jamais administrer quelque</w:t>
      </w:r>
    </w:p>
    <w:p>
      <w:r>
        <w:t xml:space="preserve">                                     chose par la bouche à une personne inconsciente. Consulter un médecin en</w:t>
      </w:r>
    </w:p>
    <w:p>
      <w:r>
        <w:t xml:space="preserve">                                      cas de malaise.</w:t>
      </w:r>
    </w:p>
    <w:p>
      <w:r>
        <w:t xml:space="preserve">4.2. Symptômes et effets les plus importants, aigus ou retardés</w:t>
      </w:r>
    </w:p>
    <w:p>
      <w:r>
        <w:t xml:space="preserve">Symptômes/effets après inhalation             : Peut causer une irritation des voies respiratoires.</w:t>
      </w:r>
    </w:p>
    <w:p>
      <w:r>
        <w:t xml:space="preserve">Symptômes/effets après contact avec la     : Peut provoquer une irritation de la peau. L'exposition répétée peut provoquer</w:t>
      </w:r>
    </w:p>
    <w:p>
      <w:r>
        <w:t xml:space="preserve">peau                                 dessèchement ou gerçures de la peau.</w:t>
      </w:r>
    </w:p>
    <w:p>
      <w:r>
        <w:t xml:space="preserve">Symptômes/effets après contact oculaire   : Peut provoquer une irritation des yeux. Les symptômes peuvent inclure un</w:t>
      </w:r>
    </w:p>
    <w:p>
      <w:r>
        <w:t xml:space="preserve">                                               inconfort ou des douleurs, un clignement excessif des paupières et une</w:t>
      </w:r>
    </w:p>
    <w:p>
      <w:r>
        <w:t xml:space="preserve">                                           production excessive de larmes, avec une rougeur prononcée et un</w:t>
      </w:r>
    </w:p>
    <w:p>
      <w:r>
        <w:t xml:space="preserve">                                          gonflement.</w:t>
      </w:r>
    </w:p>
    <w:p>
      <w:r>
        <w:t xml:space="preserve">Symptômes/effets après ingestion              : Peut être nocif en cas d'ingestion. Peut provoquer une irritation de l'appareil</w:t>
      </w:r>
    </w:p>
    <w:p>
      <w:r>
        <w:t xml:space="preserve">                                                    digestif, des nausées, des vomissements et des diarrhées.</w:t>
      </w:r>
    </w:p>
    <w:p>
      <w:r>
        <w:t xml:space="preserve">4.3. Nécessité d’une prise en charge médicale immédiate ou d’un traitement spécial, si nécessaire</w:t>
      </w:r>
    </w:p>
    <w:p>
      <w:r>
        <w:t xml:space="preserve">Des symptômes peuvent apparaître ultérieurement. En cas d'accident ou de malaise, consulter immédiatement un</w:t>
      </w:r>
    </w:p>
    <w:p>
      <w:r>
        <w:t xml:space="preserve">médecin (si possible lui montrer l'étiquette).</w:t>
      </w:r>
    </w:p>
    <w:p>
      <w:r>
        <w:t xml:space="preserve"/>
      </w:r>
    </w:p>
    <w:p>
      <w:r>
        <w:t xml:space="preserve">SECTION 5: Mesures à prendre en cas d’incendie</w:t>
      </w:r>
    </w:p>
    <w:p>
      <w:r>
        <w:t xml:space="preserve"/>
      </w:r>
    </w:p>
    <w:p>
      <w:r>
        <w:t xml:space="preserve">5.1. Moyens d'extinctions appropriés (et non appropriés)</w:t>
      </w:r>
    </w:p>
    <w:p>
      <w:r>
        <w:t xml:space="preserve">Moyens d'extinction appropriés                   : Utilisez des agents conçus pour les feux de métaux (tels que : MET-L-X, TEC</w:t>
      </w:r>
    </w:p>
    <w:p>
      <w:r>
        <w:t xml:space="preserve">                                    ou poudre G-1). Extincteur de catégorie D.</w:t>
      </w:r>
    </w:p>
    <w:p>
      <w:r>
        <w:t xml:space="preserve">Agents d'extinction non appropriés             : Ne pas utiliser un jet d'eau.</w:t>
      </w:r>
    </w:p>
    <w:p>
      <w:r>
        <w:t xml:space="preserve">5.2. Dangers spécifiques dus au produit chimique</w:t>
      </w:r>
    </w:p>
    <w:p>
      <w:r>
        <w:t xml:space="preserve">Danger d'explosion                                      : Dans des conditions anormales, la poudre ou la poussière de molybdène</w:t>
      </w:r>
    </w:p>
    <w:p>
      <w:r>
        <w:t xml:space="preserve">                                         peut présenter un risque d'incendie en fonction de la taille des particules, de</w:t>
      </w:r>
    </w:p>
    <w:p>
      <w:r>
        <w:t xml:space="preserve">                                                leur dispersion et de leur exposition à une ou plusieurs sources</w:t>
      </w:r>
    </w:p>
    <w:p>
      <w:r>
        <w:t xml:space="preserve">                                             d'inflammation. Les métaux forgés à base de molybdène (Mo) ne brûlent pas</w:t>
      </w:r>
    </w:p>
    <w:p>
      <w:r>
        <w:t xml:space="preserve">                                             facilement. Lorsque le Mo est chauffé dans l'air à plus de 650 °C, le MoO3 se</w:t>
      </w:r>
    </w:p>
    <w:p>
      <w:r>
        <w:t xml:space="preserve">                                           sublime.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FR-CA (français - CA)                                            2/8</w:t>
      </w:r>
    </w:p>
    <w:p>
      <w:r>
        <w:rPr>
          <w:b/>
        </w:rPr>
        <w:t xml:space="preserve">Page 3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/>
      </w:r>
    </w:p>
    <w:p>
      <w:r>
        <w:t xml:space="preserve">5.3. Équipements de protection spéciaux et précautions spéciales pour les pompiers</w:t>
      </w:r>
    </w:p>
    <w:p>
      <w:r>
        <w:t xml:space="preserve">Instructions de lutte contre l'incendie          : Ne pas pénétrer dans la zone de feu sans équipement de protection, y</w:t>
      </w:r>
    </w:p>
    <w:p>
      <w:r>
        <w:t xml:space="preserve">                                        compris une protection respiratoire. En cas de feu important : Appareil de</w:t>
      </w:r>
    </w:p>
    <w:p>
      <w:r>
        <w:t xml:space="preserve">                                             protection respiratoire autonome isolant.</w:t>
      </w:r>
    </w:p>
    <w:p>
      <w:r>
        <w:t xml:space="preserve">Protection en cas d'incendie                        : Rester en amont du vent par rapport à l'incendie. Porter un habit pare feu</w:t>
      </w:r>
    </w:p>
    <w:p>
      <w:r>
        <w:t xml:space="preserve">                                        complet incluant un équipement de respiration (SCBA).</w:t>
      </w:r>
    </w:p>
    <w:p>
      <w:r>
        <w:t xml:space="preserve"/>
      </w:r>
    </w:p>
    <w:p>
      <w:r>
        <w:t xml:space="preserve">SECTION 6: Mesures à prendre en cas de déversement accidentel</w:t>
      </w:r>
    </w:p>
    <w:p>
      <w:r>
        <w:t xml:space="preserve"/>
      </w:r>
    </w:p>
    <w:p>
      <w:r>
        <w:t xml:space="preserve">6.1. Précautions individuelles, équipement de protection et procédures d’urgence</w:t>
      </w:r>
    </w:p>
    <w:p>
      <w:r>
        <w:t xml:space="preserve">Mesures générales                                      : Porter les vêtements protecteurs recommandés dans la section 8. Isoler la</w:t>
      </w:r>
    </w:p>
    <w:p>
      <w:r>
        <w:t xml:space="preserve">                                     zone de danger et interdire l'accès au personnel non protégé et non autorisé.</w:t>
      </w:r>
    </w:p>
    <w:p>
      <w:r>
        <w:t xml:space="preserve"/>
      </w:r>
    </w:p>
    <w:p>
      <w:r>
        <w:t xml:space="preserve">6.1.1. Pour les non-secouristes</w:t>
      </w:r>
    </w:p>
    <w:p>
      <w:r>
        <w:t xml:space="preserve"/>
      </w:r>
    </w:p>
    <w:p>
      <w:r>
        <w:t xml:space="preserve">Aucune information complémentaire disponible</w:t>
      </w:r>
    </w:p>
    <w:p>
      <w:r>
        <w:t xml:space="preserve"/>
      </w:r>
    </w:p>
    <w:p>
      <w:r>
        <w:t xml:space="preserve">6.1.2. Pour les secouristes</w:t>
      </w:r>
    </w:p>
    <w:p>
      <w:r>
        <w:t xml:space="preserve"/>
      </w:r>
    </w:p>
    <w:p>
      <w:r>
        <w:t xml:space="preserve">Aucune information complémentaire disponible</w:t>
      </w:r>
    </w:p>
    <w:p>
      <w:r>
        <w:t xml:space="preserve">Précautions pour la protection de              :   Éviter la pénétration dans les égouts et les eaux potables.</w:t>
      </w:r>
    </w:p>
    <w:p>
      <w:r>
        <w:t xml:space="preserve">l’environnement</w:t>
      </w:r>
    </w:p>
    <w:p>
      <w:r>
        <w:t xml:space="preserve"/>
      </w:r>
    </w:p>
    <w:p>
      <w:r>
        <w:t xml:space="preserve"/>
      </w:r>
    </w:p>
    <w:p>
      <w:r>
        <w:t xml:space="preserve">6.2. Méthodes et matériel de confinement et de nettoyage</w:t>
      </w:r>
    </w:p>
    <w:p>
      <w:r>
        <w:t xml:space="preserve">Pour la rétention                                          : Contenir et/ou absorber le déversement avec une substance inerte (par ex.</w:t>
      </w:r>
    </w:p>
    <w:p>
      <w:r>
        <w:t xml:space="preserve">                                    du sable ou de la vermiculite) puis placer ensuite dans un conteneur adapté.</w:t>
      </w:r>
    </w:p>
    <w:p>
      <w:r>
        <w:t xml:space="preserve">                               Ne pas déverser dans des eaux de surface ou dans les égouts. Porter</w:t>
      </w:r>
    </w:p>
    <w:p>
      <w:r>
        <w:t xml:space="preserve">                                          l'équipement de protection individuelle recommandé.</w:t>
      </w:r>
    </w:p>
    <w:p>
      <w:r>
        <w:t xml:space="preserve">Procédés de nettoyage                                : Balayer ou pelleter le produit déversé et le mettre dans un récipient approprié</w:t>
      </w:r>
    </w:p>
    <w:p>
      <w:r>
        <w:t xml:space="preserve">                                        pour élimination. Ventiler la zone.</w:t>
      </w:r>
    </w:p>
    <w:p>
      <w:r>
        <w:t xml:space="preserve">Pour plus d'informations, se reporter à la section 8 : "Contrôle de l'exposition-protection individuelle".</w:t>
      </w:r>
    </w:p>
    <w:p>
      <w:r>
        <w:t xml:space="preserve"/>
      </w:r>
    </w:p>
    <w:p>
      <w:r>
        <w:t xml:space="preserve">SECTION 7: Manutention et stockage</w:t>
      </w:r>
    </w:p>
    <w:p>
      <w:r>
        <w:t xml:space="preserve"/>
      </w:r>
    </w:p>
    <w:p>
      <w:r>
        <w:t xml:space="preserve">7.1. Précautions à prendre pour une manipulation sans danger</w:t>
      </w:r>
    </w:p>
    <w:p>
      <w:r>
        <w:t xml:space="preserve">Précautions à prendre pour une                  : Éviter le contact avec la peau et les yeux. Éviter de respirer les</w:t>
      </w:r>
    </w:p>
    <w:p>
      <w:r>
        <w:t xml:space="preserve">manipulation sans danger                  poussières/fumées/gaz/brouillards/vapeurs/aérosols. Ne pas avaler.</w:t>
      </w:r>
    </w:p>
    <w:p>
      <w:r>
        <w:t xml:space="preserve">                                         Manipuler et ouvrir le récipient avec prudence. Ne pas manger, ne pas boire</w:t>
      </w:r>
    </w:p>
    <w:p>
      <w:r>
        <w:t xml:space="preserve">                                                et ne pas fumer pendant l'utilisation.</w:t>
      </w:r>
    </w:p>
    <w:p>
      <w:r>
        <w:t xml:space="preserve">Mesures d'hygiène                                      : Laver les vêtements contaminés avant réutilisation. Se laver les mains après</w:t>
      </w:r>
    </w:p>
    <w:p>
      <w:r>
        <w:t xml:space="preserve">                                             toute manipulation.</w:t>
      </w:r>
    </w:p>
    <w:p>
      <w:r>
        <w:t xml:space="preserve">7.2. Conditions d'un stockage sûr, y compris les éventuelles incompatibilités</w:t>
      </w:r>
    </w:p>
    <w:p>
      <w:r>
        <w:t xml:space="preserve">Conditions de stockage                               : Conserver hors de la portée des enfants. Maintenir le récipient fermé de</w:t>
      </w:r>
    </w:p>
    <w:p>
      <w:r>
        <w:t xml:space="preserve">                                       manière étanche. Conserver dans un endroit sec, frais et très bien ventilé.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FR-CA (français - CA)                                            3/8</w:t>
      </w:r>
    </w:p>
    <w:p>
      <w:r>
        <w:rPr>
          <w:b/>
        </w:rPr>
        <w:t xml:space="preserve">Page 4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/>
      </w:r>
    </w:p>
    <w:p>
      <w:r>
        <w:t xml:space="preserve">SECTION 8: Contrôles de l’exposition/protection individuelle</w:t>
      </w:r>
    </w:p>
    <w:p>
      <w:r>
        <w:t xml:space="preserve">8.1. Paramètres de contrôle</w:t>
      </w:r>
    </w:p>
    <w:p>
      <w:r>
        <w:t xml:space="preserve"/>
      </w:r>
    </w:p>
    <w:p>
      <w:r>
        <w:t xml:space="preserve"/>
      </w:r>
    </w:p>
    <w:p>
      <w:r>
        <w:t xml:space="preserve"> Molybdène (7439-98-7)</w:t>
      </w:r>
    </w:p>
    <w:p>
      <w:r>
        <w:t xml:space="preserve"/>
      </w:r>
    </w:p>
    <w:p>
      <w:r>
        <w:t xml:space="preserve">ACGIH - TLV® TWA                                10 mg/m³ (Particules inhalables)</w:t>
      </w:r>
    </w:p>
    <w:p>
      <w:r>
        <w:t xml:space="preserve">                                                 3 mg/m³ (particules respirables)</w:t>
      </w:r>
    </w:p>
    <w:p>
      <w:r>
        <w:t xml:space="preserve"/>
      </w:r>
    </w:p>
    <w:p>
      <w:r>
        <w:t xml:space="preserve">OSHA                                           Sans objet</w:t>
      </w:r>
    </w:p>
    <w:p>
      <w:r>
        <w:t xml:space="preserve"/>
      </w:r>
    </w:p>
    <w:p>
      <w:r>
        <w:t xml:space="preserve"> IDLH                                             5000 mg/m³</w:t>
      </w:r>
    </w:p>
    <w:p>
      <w:r>
        <w:t xml:space="preserve"/>
      </w:r>
    </w:p>
    <w:p>
      <w:r>
        <w:t xml:space="preserve">NIOSH                                          Sans objet</w:t>
      </w:r>
    </w:p>
    <w:p>
      <w:r>
        <w:t xml:space="preserve"/>
      </w:r>
    </w:p>
    <w:p>
      <w:r>
        <w:t xml:space="preserve"/>
      </w:r>
    </w:p>
    <w:p>
      <w:r>
        <w:t xml:space="preserve">8.2. Contrôles techniques appropriés</w:t>
      </w:r>
    </w:p>
    <w:p>
      <w:r>
        <w:t xml:space="preserve">Contrôles techniques appropriés                 : Assurer une bonne ventilation du poste de travail.</w:t>
      </w:r>
    </w:p>
    <w:p>
      <w:r>
        <w:t xml:space="preserve">Contrôle de l'exposition de                          : Éviter le rejet dans l’environnement.</w:t>
      </w:r>
    </w:p>
    <w:p>
      <w:r>
        <w:t xml:space="preserve">l'environnement</w:t>
      </w:r>
    </w:p>
    <w:p>
      <w:r>
        <w:t xml:space="preserve">8.3. Mesures de protection individuelle/équipements de protection individuelle</w:t>
      </w:r>
    </w:p>
    <w:p>
      <w:r>
        <w:t xml:space="preserve"/>
      </w:r>
    </w:p>
    <w:p>
      <w:r>
        <w:t xml:space="preserve"> Protection des mains:</w:t>
      </w:r>
    </w:p>
    <w:p>
      <w:r>
        <w:t xml:space="preserve"/>
      </w:r>
    </w:p>
    <w:p>
      <w:r>
        <w:t xml:space="preserve"> Porter des gants appropriés. Consulter l'information produit du fournisseur des gants sur la compatibilité du matériau et</w:t>
      </w:r>
    </w:p>
    <w:p>
      <w:r>
        <w:t xml:space="preserve"> de son épaisseur.</w:t>
      </w:r>
    </w:p>
    <w:p>
      <w:r>
        <w:t xml:space="preserve"/>
      </w:r>
    </w:p>
    <w:p>
      <w:r>
        <w:t xml:space="preserve"/>
      </w:r>
    </w:p>
    <w:p>
      <w:r>
        <w:t xml:space="preserve"> Protection oculaire:</w:t>
      </w:r>
    </w:p>
    <w:p>
      <w:r>
        <w:t xml:space="preserve"/>
      </w:r>
    </w:p>
    <w:p>
      <w:r>
        <w:t xml:space="preserve"> Des lunettes de sécurité ou des protecteurs oculaires sont recommandés en utilisant le produit.</w:t>
      </w:r>
    </w:p>
    <w:p>
      <w:r>
        <w:t xml:space="preserve"/>
      </w:r>
    </w:p>
    <w:p>
      <w:r>
        <w:t xml:space="preserve"/>
      </w:r>
    </w:p>
    <w:p>
      <w:r>
        <w:t xml:space="preserve"> Protection de la peau et du corps:</w:t>
      </w:r>
    </w:p>
    <w:p>
      <w:r>
        <w:t xml:space="preserve"/>
      </w:r>
    </w:p>
    <w:p>
      <w:r>
        <w:t xml:space="preserve"> Porter un vêtement de protection approprié</w:t>
      </w:r>
    </w:p>
    <w:p>
      <w:r>
        <w:t xml:space="preserve"/>
      </w:r>
    </w:p>
    <w:p>
      <w:r>
        <w:t xml:space="preserve"/>
      </w:r>
    </w:p>
    <w:p>
      <w:r>
        <w:t xml:space="preserve"> Protection des voies respiratoires:</w:t>
      </w:r>
    </w:p>
    <w:p>
      <w:r>
        <w:t xml:space="preserve"/>
      </w:r>
    </w:p>
    <w:p>
      <w:r>
        <w:t xml:space="preserve"> En cas de ventilation insuffisante, porter un appareil respiratoire approprié. Le choix de l'appareil de protection</w:t>
      </w:r>
    </w:p>
    <w:p>
      <w:r>
        <w:t xml:space="preserve"> respiratoire doit être fondé sur les niveaux d'expositions prévus ou connus, les dangers du produit et les limites</w:t>
      </w:r>
    </w:p>
    <w:p>
      <w:r>
        <w:t xml:space="preserve"> d'utilisation sans danger de l'appareil de protection respiratoire retenu. La FDS ne peut pas fournir des directives</w:t>
      </w:r>
    </w:p>
    <w:p>
      <w:r>
        <w:t xml:space="preserve"> complètes et détaillées en matière de protection des voies respiratoires. Le choix de l'appareil respiratoire doit être fait</w:t>
      </w:r>
    </w:p>
    <w:p>
      <w:r>
        <w:t xml:space="preserve"> par une personne qualifiée après évaluation de la situation de travail.</w:t>
      </w:r>
    </w:p>
    <w:p>
      <w:r>
        <w:t xml:space="preserve"/>
      </w:r>
    </w:p>
    <w:p>
      <w:r>
        <w:t xml:space="preserve"/>
      </w:r>
    </w:p>
    <w:p>
      <w:r>
        <w:t xml:space="preserve">Autres informations:</w:t>
      </w:r>
    </w:p>
    <w:p>
      <w:r>
        <w:t xml:space="preserve">Produit à manipuler en suivant une bonne hygiène industrielle et des procédures de sécurité. Ne pas manger, boire ou</w:t>
      </w:r>
    </w:p>
    <w:p>
      <w:r>
        <w:t xml:space="preserve">fumer en manipulant ce produit.</w:t>
      </w:r>
    </w:p>
    <w:p>
      <w:r>
        <w:t xml:space="preserve"/>
      </w:r>
    </w:p>
    <w:p>
      <w:r>
        <w:t xml:space="preserve">SECTION 9: Propriétés physiques et chimiques</w:t>
      </w:r>
    </w:p>
    <w:p>
      <w:r>
        <w:t xml:space="preserve"/>
      </w:r>
    </w:p>
    <w:p>
      <w:r>
        <w:t xml:space="preserve">9.1. Informations sur les propriétés physiques et chimiques essentielles</w:t>
      </w:r>
    </w:p>
    <w:p>
      <w:r>
        <w:t xml:space="preserve">État physique                                               : Solide (fil)</w:t>
      </w:r>
    </w:p>
    <w:p>
      <w:r>
        <w:t xml:space="preserve">Couleur                                                        : Gris</w:t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FR-CA (français - CA)                                            4/8</w:t>
      </w:r>
    </w:p>
    <w:p>
      <w:r>
        <w:rPr>
          <w:b/>
        </w:rPr>
        <w:t xml:space="preserve">Page 5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/>
      </w:r>
    </w:p>
    <w:p>
      <w:r>
        <w:t xml:space="preserve">Odeur                                                           : Aucune donnée disponible</w:t>
      </w:r>
    </w:p>
    <w:p>
      <w:r>
        <w:t xml:space="preserve">Seuil olfactif                                                 : Aucune donnée disponible</w:t>
      </w:r>
    </w:p>
    <w:p>
      <w:r>
        <w:t xml:space="preserve">pH                                                                : Aucune donnée disponible</w:t>
      </w:r>
    </w:p>
    <w:p>
      <w:r>
        <w:t xml:space="preserve">Point de fusion                                             : 2622 °C / 4751,6 °F</w:t>
      </w:r>
    </w:p>
    <w:p>
      <w:r>
        <w:t xml:space="preserve">Point de congélation                                    : Aucune donnée disponible</w:t>
      </w:r>
    </w:p>
    <w:p>
      <w:r>
        <w:t xml:space="preserve">Point d'ébullition                                          : 4825 °C / 8717 °F</w:t>
      </w:r>
    </w:p>
    <w:p>
      <w:r>
        <w:t xml:space="preserve">Point d'éclair                                                : Aucune donnée disponible</w:t>
      </w:r>
    </w:p>
    <w:p>
      <w:r>
        <w:t xml:space="preserve">Vitesse d'évaporation relative (acétate de   : Aucune donnée disponible</w:t>
      </w:r>
    </w:p>
    <w:p>
      <w:r>
        <w:t xml:space="preserve">butyle=1)</w:t>
      </w:r>
    </w:p>
    <w:p>
      <w:r>
        <w:t xml:space="preserve">Inflammabilité                                              : Non inflammable</w:t>
      </w:r>
    </w:p>
    <w:p>
      <w:r>
        <w:t xml:space="preserve">Pression de la vapeur                                  : 1 mm Hg à 3102 °C / 5615,6 °F</w:t>
      </w:r>
    </w:p>
    <w:p>
      <w:r>
        <w:t xml:space="preserve">Densité relative de la vapeur à 20°C / 68    : Aucune donnée disponible</w:t>
      </w:r>
    </w:p>
    <w:p>
      <w:r>
        <w:t xml:space="preserve">°F</w:t>
      </w:r>
    </w:p>
    <w:p>
      <w:r>
        <w:t xml:space="preserve">Densité relative                                            : Aucune donnée disponible</w:t>
      </w:r>
    </w:p>
    <w:p>
      <w:r>
        <w:t xml:space="preserve">Masse volumique                                         : 10,2 gm/cc</w:t>
      </w:r>
    </w:p>
    <w:p>
      <w:r>
        <w:t xml:space="preserve">Solubilité                                                      : Eau: Insoluble</w:t>
      </w:r>
    </w:p>
    <w:p>
      <w:r>
        <w:t xml:space="preserve">Coefficient de partage n-octanol/eau          : Aucune donnée disponible</w:t>
      </w:r>
    </w:p>
    <w:p>
      <w:r>
        <w:t xml:space="preserve">Température d'auto-inflammation                : Aucune donnée disponible</w:t>
      </w:r>
    </w:p>
    <w:p>
      <w:r>
        <w:t xml:space="preserve">Température de décomposition                   : Aucune donnée disponible</w:t>
      </w:r>
    </w:p>
    <w:p>
      <w:r>
        <w:t xml:space="preserve">Viscosité, cinématique                                 : Aucune donnée disponible</w:t>
      </w:r>
    </w:p>
    <w:p>
      <w:r>
        <w:t xml:space="preserve">Viscosité, dynamique                                   : Aucune donnée disponible</w:t>
      </w:r>
    </w:p>
    <w:p>
      <w:r>
        <w:t xml:space="preserve">Limites d'explosivité                                     : Aucune donnée disponible</w:t>
      </w:r>
    </w:p>
    <w:p>
      <w:r>
        <w:t xml:space="preserve">Propriétés explosives                                  : Aucune donnée disponible</w:t>
      </w:r>
    </w:p>
    <w:p>
      <w:r>
        <w:t xml:space="preserve">Propriétés comburantes                              : Aucune donnée disponible</w:t>
      </w:r>
    </w:p>
    <w:p>
      <w:r>
        <w:t xml:space="preserve">9.2. Autres informations</w:t>
      </w:r>
    </w:p>
    <w:p>
      <w:r>
        <w:t xml:space="preserve">Aucune information complémentaire disponible</w:t>
      </w:r>
    </w:p>
    <w:p>
      <w:r>
        <w:t xml:space="preserve"/>
      </w:r>
    </w:p>
    <w:p>
      <w:r>
        <w:t xml:space="preserve">SECTION 10: Stabilité et réactivité</w:t>
      </w:r>
    </w:p>
    <w:p>
      <w:r>
        <w:t xml:space="preserve"/>
      </w:r>
    </w:p>
    <w:p>
      <w:r>
        <w:t xml:space="preserve">10.1. Réactivité</w:t>
      </w:r>
    </w:p>
    <w:p>
      <w:r>
        <w:t xml:space="preserve">Aucun, dans les conditions normales d'utilisation.</w:t>
      </w:r>
    </w:p>
    <w:p>
      <w:r>
        <w:t xml:space="preserve">10.2. Stabilité chimique</w:t>
      </w:r>
    </w:p>
    <w:p>
      <w:r>
        <w:t xml:space="preserve">Stable, dans les conditions normales d'entreposage.</w:t>
      </w:r>
    </w:p>
    <w:p>
      <w:r>
        <w:t xml:space="preserve">10.3. Possibilité de réactions dangereuses</w:t>
      </w:r>
    </w:p>
    <w:p>
      <w:r>
        <w:t xml:space="preserve"> Aucun, dans les conditions normales d'utilisation.</w:t>
      </w:r>
    </w:p>
    <w:p>
      <w:r>
        <w:t xml:space="preserve">10.4. Conditions à éviter</w:t>
      </w:r>
    </w:p>
    <w:p>
      <w:r>
        <w:t xml:space="preserve">Chaleur. Matières incompatibles.</w:t>
      </w:r>
    </w:p>
    <w:p>
      <w:r>
        <w:t xml:space="preserve">10.5. Matières incompatibles</w:t>
      </w:r>
    </w:p>
    <w:p>
      <w:r>
        <w:t xml:space="preserve">Oxydants forts. BrF3, ClF3, F2, PbO2</w:t>
      </w:r>
    </w:p>
    <w:p>
      <w:r>
        <w:t xml:space="preserve">10.6. Produits de décomposition dangereux</w:t>
      </w:r>
    </w:p>
    <w:p>
      <w:r>
        <w:t xml:space="preserve">Aucune connue</w:t>
      </w:r>
    </w:p>
    <w:p>
      <w:r>
        <w:t xml:space="preserve"/>
      </w:r>
    </w:p>
    <w:p>
      <w:r>
        <w:t xml:space="preserve">SECTION 11: Données toxicologiques</w:t>
      </w:r>
    </w:p>
    <w:p>
      <w:r>
        <w:t xml:space="preserve"/>
      </w:r>
    </w:p>
    <w:p>
      <w:r>
        <w:t xml:space="preserve">11.1. Informations sur les effets toxicologiques</w:t>
      </w:r>
    </w:p>
    <w:p>
      <w:r>
        <w:t xml:space="preserve"/>
      </w:r>
    </w:p>
    <w:p>
      <w:r>
        <w:t xml:space="preserve">Toxicité aiguë (voie orale)                           : Non classé</w:t>
      </w:r>
    </w:p>
    <w:p>
      <w:r>
        <w:t xml:space="preserve">Toxicité aiguë (voie cutanée)                      : Non classé</w:t>
      </w:r>
    </w:p>
    <w:p>
      <w:r>
        <w:t xml:space="preserve"/>
      </w:r>
    </w:p>
    <w:p>
      <w:r>
        <w:t xml:space="preserve">2025-07-31                            FR-CA (français - CA)                                            5/8</w:t>
      </w:r>
    </w:p>
    <w:p>
      <w:r>
        <w:rPr>
          <w:b/>
        </w:rPr>
        <w:t xml:space="preserve">Page 6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/>
      </w:r>
    </w:p>
    <w:p>
      <w:r>
        <w:t xml:space="preserve">Toxicité aiguë (inhalation)                            : Non classé</w:t>
      </w:r>
    </w:p>
    <w:p>
      <w:r>
        <w:t xml:space="preserve"/>
      </w:r>
    </w:p>
    <w:p>
      <w:r>
        <w:t xml:space="preserve"/>
      </w:r>
    </w:p>
    <w:p>
      <w:r>
        <w:t xml:space="preserve"> Molybdène (7439-98-7)</w:t>
      </w:r>
    </w:p>
    <w:p>
      <w:r>
        <w:t xml:space="preserve"/>
      </w:r>
    </w:p>
    <w:p>
      <w:r>
        <w:t xml:space="preserve"> DL50 cutanée rat                     &gt; 2000 mg/kg de poids corporel Animal: rat, lignes directrices: Lignes</w:t>
      </w:r>
    </w:p>
    <w:p>
      <w:r>
        <w:t xml:space="preserve">                                                 directrices de l’OCDE 402 (toxicité cutanée aiguë)</w:t>
      </w:r>
    </w:p>
    <w:p>
      <w:r>
        <w:t xml:space="preserve"/>
      </w:r>
    </w:p>
    <w:p>
      <w:r>
        <w:t xml:space="preserve"> CL50 inhalation rat                    &gt; 5,84 mg/L/4h</w:t>
      </w:r>
    </w:p>
    <w:p>
      <w:r>
        <w:t xml:space="preserve"/>
      </w:r>
    </w:p>
    <w:p>
      <w:r>
        <w:t xml:space="preserve"/>
      </w:r>
    </w:p>
    <w:p>
      <w:r>
        <w:t xml:space="preserve">Corrosion cutanée/irritation cutanée   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Lésions oculaires graves/irritation               : Compte tenu des données disponibles, les critères de classification ne sont</w:t>
      </w:r>
    </w:p>
    <w:p>
      <w:r>
        <w:t xml:space="preserve">oculaire                               pas remplis.</w:t>
      </w:r>
    </w:p>
    <w:p>
      <w:r>
        <w:t xml:space="preserve">Sensibilisation respiratoire ou cutanée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Mutagénicité sur les cellules germinales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Cancérogénicité                                   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Toxicité pour la reproduction               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Toxicité spécifique pour certains organes   : Compte tenu des données disponibles, les critères de classification ne sont</w:t>
      </w:r>
    </w:p>
    <w:p>
      <w:r>
        <w:t xml:space="preserve">cibles (STOT) (exposition unique)         pas remplis.</w:t>
      </w:r>
    </w:p>
    <w:p>
      <w:r>
        <w:t xml:space="preserve">Toxicité spécifique pour certains organes   : Compte tenu des données disponibles, les critères de classification ne sont</w:t>
      </w:r>
    </w:p>
    <w:p>
      <w:r>
        <w:t xml:space="preserve">cibles (STOT) (exposition répétée)         pas remplis.</w:t>
      </w:r>
    </w:p>
    <w:p>
      <w:r>
        <w:t xml:space="preserve">Danger par aspiration                                  : Compte tenu des données disponibles, les critères de classification ne sont</w:t>
      </w:r>
    </w:p>
    <w:p>
      <w:r>
        <w:t xml:space="preserve">                                     pas remplis.</w:t>
      </w:r>
    </w:p>
    <w:p>
      <w:r>
        <w:t xml:space="preserve">Symptômes/effets après inhalation             : Peut causer une irritation des voies respiratoires.</w:t>
      </w:r>
    </w:p>
    <w:p>
      <w:r>
        <w:t xml:space="preserve">Symptômes/effets après contact avec la     : Peut provoquer une irritation de la peau. L'exposition répétée peut provoquer</w:t>
      </w:r>
    </w:p>
    <w:p>
      <w:r>
        <w:t xml:space="preserve">peau                                 dessèchement ou gerçures de la peau.</w:t>
      </w:r>
    </w:p>
    <w:p>
      <w:r>
        <w:t xml:space="preserve">Symptômes/effets après contact oculaire   : Peut provoquer une irritation des yeux. Les symptômes peuvent inclure un</w:t>
      </w:r>
    </w:p>
    <w:p>
      <w:r>
        <w:t xml:space="preserve">                                               inconfort ou des douleurs, un clignement excessif des paupières et une</w:t>
      </w:r>
    </w:p>
    <w:p>
      <w:r>
        <w:t xml:space="preserve">                                           production excessive de larmes, avec une rougeur prononcée et un</w:t>
      </w:r>
    </w:p>
    <w:p>
      <w:r>
        <w:t xml:space="preserve">                                          gonflement.</w:t>
      </w:r>
    </w:p>
    <w:p>
      <w:r>
        <w:t xml:space="preserve">Symptômes/effets après ingestion              : Peut être nocif en cas d'ingestion. Peut provoquer une irritation de l'appareil</w:t>
      </w:r>
    </w:p>
    <w:p>
      <w:r>
        <w:t xml:space="preserve">                                                    digestif, des nausées, des vomissements et des diarrhées.</w:t>
      </w:r>
    </w:p>
    <w:p>
      <w:r>
        <w:t xml:space="preserve">Autres informations                                      : Voies d'exposition possibles : ingestion, inhalation, peau et yeux.</w:t>
      </w:r>
    </w:p>
    <w:p>
      <w:r>
        <w:t xml:space="preserve"/>
      </w:r>
    </w:p>
    <w:p>
      <w:r>
        <w:t xml:space="preserve">SECTION 12: Données écologiques</w:t>
      </w:r>
    </w:p>
    <w:p>
      <w:r>
        <w:t xml:space="preserve"/>
      </w:r>
    </w:p>
    <w:p>
      <w:r>
        <w:t xml:space="preserve">12.1. Écotoxicité</w:t>
      </w:r>
    </w:p>
    <w:p>
      <w:r>
        <w:t xml:space="preserve">Écologie - général                                       : Peut entraîner des effets néfastes à long terme pour l'environnement</w:t>
      </w:r>
    </w:p>
    <w:p>
      <w:r>
        <w:t xml:space="preserve">                                           aquatique.</w:t>
      </w:r>
    </w:p>
    <w:p>
      <w:r>
        <w:t xml:space="preserve">12.2. Persistance et dégradabilité</w:t>
      </w:r>
    </w:p>
    <w:p>
      <w:r>
        <w:t xml:space="preserve"/>
      </w:r>
    </w:p>
    <w:p>
      <w:r>
        <w:t xml:space="preserve">HIMO (7439-98-7)</w:t>
      </w:r>
    </w:p>
    <w:p>
      <w:r>
        <w:t xml:space="preserve"/>
      </w:r>
    </w:p>
    <w:p>
      <w:r>
        <w:t xml:space="preserve"> Persistance et dégradabilité            Non établi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FR-CA (français - CA)                                            6/8</w:t>
      </w:r>
    </w:p>
    <w:p>
      <w:r>
        <w:rPr>
          <w:b/>
        </w:rPr>
        <w:t xml:space="preserve">Page 7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/>
      </w:r>
    </w:p>
    <w:p>
      <w:r>
        <w:t xml:space="preserve">12.3. Potentiel de bioaccumulation</w:t>
      </w:r>
    </w:p>
    <w:p>
      <w:r>
        <w:t xml:space="preserve"/>
      </w:r>
    </w:p>
    <w:p>
      <w:r>
        <w:t xml:space="preserve">HIMO (7439-98-7)</w:t>
      </w:r>
    </w:p>
    <w:p>
      <w:r>
        <w:t xml:space="preserve"/>
      </w:r>
    </w:p>
    <w:p>
      <w:r>
        <w:t xml:space="preserve"> Potentiel de bioaccumulation            Non établi</w:t>
      </w:r>
    </w:p>
    <w:p>
      <w:r>
        <w:t xml:space="preserve"/>
      </w:r>
    </w:p>
    <w:p>
      <w:r>
        <w:t xml:space="preserve">12.4. Mobilité dans le sol</w:t>
      </w:r>
    </w:p>
    <w:p>
      <w:r>
        <w:t xml:space="preserve">Aucune information supplémentaire disponible</w:t>
      </w:r>
    </w:p>
    <w:p>
      <w:r>
        <w:t xml:space="preserve">12.5. Autres effets néfastes</w:t>
      </w:r>
    </w:p>
    <w:p>
      <w:r>
        <w:t xml:space="preserve">Aucune information supplémentaire disponiblene information supplémentaire disponible</w:t>
      </w:r>
    </w:p>
    <w:p>
      <w:r>
        <w:t xml:space="preserve"/>
      </w:r>
    </w:p>
    <w:p>
      <w:r>
        <w:t xml:space="preserve">SECTION 13: Données sur l’élimination</w:t>
      </w:r>
    </w:p>
    <w:p>
      <w:r>
        <w:t xml:space="preserve"/>
      </w:r>
    </w:p>
    <w:p>
      <w:r>
        <w:t xml:space="preserve">13.1. Méthodes d’élimination</w:t>
      </w:r>
    </w:p>
    <w:p>
      <w:r>
        <w:t xml:space="preserve">Recommandations relatives à                     : Éliminer le contenu/récipient dans un centre de collecte de déchets</w:t>
      </w:r>
    </w:p>
    <w:p>
      <w:r>
        <w:t xml:space="preserve">l'élimination du produit ou de l'emballage    dangereux ou spéciaux, conformément à la réglementation locale, régionale,</w:t>
      </w:r>
    </w:p>
    <w:p>
      <w:r>
        <w:t xml:space="preserve">                                            nationale et/ou internationale.</w:t>
      </w:r>
    </w:p>
    <w:p>
      <w:r>
        <w:t xml:space="preserve"/>
      </w:r>
    </w:p>
    <w:p>
      <w:r>
        <w:t xml:space="preserve">SECTION 14: Informations relatives au transport</w:t>
      </w:r>
    </w:p>
    <w:p>
      <w:r>
        <w:t xml:space="preserve"/>
      </w:r>
    </w:p>
    <w:p>
      <w:r>
        <w:t xml:space="preserve">14.1. Numéro ONU</w:t>
      </w:r>
    </w:p>
    <w:p>
      <w:r>
        <w:t xml:space="preserve">Le produit n'est pas un produit dangereux selon les règlements applicables au transport</w:t>
      </w:r>
    </w:p>
    <w:p>
      <w:r>
        <w:t xml:space="preserve">14.2. Nom d’expédition des Nations unies</w:t>
      </w:r>
    </w:p>
    <w:p>
      <w:r>
        <w:t xml:space="preserve">Désignation officielle pour le transport        : Non applicable</w:t>
      </w:r>
    </w:p>
    <w:p>
      <w:r>
        <w:t xml:space="preserve">(DOT)</w:t>
      </w:r>
    </w:p>
    <w:p>
      <w:r>
        <w:t xml:space="preserve">Désignation officielle pour le transport        : Non applicable</w:t>
      </w:r>
    </w:p>
    <w:p>
      <w:r>
        <w:t xml:space="preserve">(TMD)</w:t>
      </w:r>
    </w:p>
    <w:p>
      <w:r>
        <w:t xml:space="preserve">14.3. Classe(s) de danger pour le transport</w:t>
      </w:r>
    </w:p>
    <w:p>
      <w:r>
        <w:t xml:space="preserve">DOT</w:t>
      </w:r>
    </w:p>
    <w:p>
      <w:r>
        <w:t xml:space="preserve">Classe(s) de danger pour le transport         : Non applicable</w:t>
      </w:r>
    </w:p>
    <w:p>
      <w:r>
        <w:t xml:space="preserve">(DOT)</w:t>
      </w:r>
    </w:p>
    <w:p>
      <w:r>
        <w:t xml:space="preserve"/>
      </w:r>
    </w:p>
    <w:p>
      <w:r>
        <w:t xml:space="preserve"/>
      </w:r>
    </w:p>
    <w:p>
      <w:r>
        <w:t xml:space="preserve">TDG</w:t>
      </w:r>
    </w:p>
    <w:p>
      <w:r>
        <w:t xml:space="preserve">Classe(s) de danger pour le transport         : Non applicable</w:t>
      </w:r>
    </w:p>
    <w:p>
      <w:r>
        <w:t xml:space="preserve">(TDG)</w:t>
      </w:r>
    </w:p>
    <w:p>
      <w:r>
        <w:t xml:space="preserve">14.4. Groupe d’emballage</w:t>
      </w:r>
    </w:p>
    <w:p>
      <w:r>
        <w:t xml:space="preserve">Groupe d'emballage (DOT)                         : Non applicable</w:t>
      </w:r>
    </w:p>
    <w:p>
      <w:r>
        <w:t xml:space="preserve">Groupe d’emballage (TDG)                         : Non applicable</w:t>
      </w:r>
    </w:p>
    <w:p>
      <w:r>
        <w:t xml:space="preserve">14.5. Dangers pour l'environnement</w:t>
      </w:r>
    </w:p>
    <w:p>
      <w:r>
        <w:t xml:space="preserve">Autres informations                                      : Aucune information supplémentaire disponible</w:t>
      </w:r>
    </w:p>
    <w:p>
      <w:r>
        <w:t xml:space="preserve">14.6. Transport en vrac</w:t>
      </w:r>
    </w:p>
    <w:p>
      <w:r>
        <w:t xml:space="preserve">Non applicable.</w:t>
      </w:r>
    </w:p>
    <w:p>
      <w:r>
        <w:t xml:space="preserve">14.7. Précautions spéciales pour l’utilisateur</w:t>
      </w:r>
    </w:p>
    <w:p>
      <w:r>
        <w:t xml:space="preserve">Mesures de précautions pour le transport   : Ne pas manipuler avant d’avoir lu et compris toutes les précautions de</w:t>
      </w:r>
    </w:p>
    <w:p>
      <w:r>
        <w:t xml:space="preserve">                                               sécurité.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FR-CA (français - CA)                                            7/8</w:t>
      </w:r>
    </w:p>
    <w:p>
      <w:r>
        <w:rPr>
          <w:b/>
        </w:rPr>
        <w:t xml:space="preserve">Page 8</w:t>
      </w:r>
    </w:p>
    <w:p>
      <w:r>
        <w:t xml:space="preserve">HIMO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2024 et selon le Règlement sur les produits dangereux</w:t>
      </w:r>
    </w:p>
    <w:p>
      <w:r>
        <w:t xml:space="preserve">(RPD) du SIMDUT 2022</w:t>
      </w:r>
    </w:p>
    <w:p>
      <w:r>
        <w:t xml:space="preserve"/>
      </w:r>
    </w:p>
    <w:p>
      <w:r>
        <w:t xml:space="preserve">SECTION 15: Informations sur la réglementation</w:t>
      </w:r>
    </w:p>
    <w:p>
      <w:r>
        <w:t xml:space="preserve"/>
      </w:r>
    </w:p>
    <w:p>
      <w:r>
        <w:t xml:space="preserve">15.1 Réglementations fédérales</w:t>
      </w:r>
    </w:p>
    <w:p>
      <w:r>
        <w:t xml:space="preserve"/>
      </w:r>
    </w:p>
    <w:p>
      <w:r>
        <w:t xml:space="preserve"> Tous les composants de ce produit figurent à l’inventaire de la Toxic Substances Control Act (TSCA) de l’Environmental</w:t>
      </w:r>
    </w:p>
    <w:p>
      <w:r>
        <w:t xml:space="preserve"> Protection Agency des États-Unis (ou en sont exclus).</w:t>
      </w:r>
    </w:p>
    <w:p>
      <w:r>
        <w:t xml:space="preserve"/>
      </w:r>
    </w:p>
    <w:p>
      <w:r>
        <w:t xml:space="preserve"/>
      </w:r>
    </w:p>
    <w:p>
      <w:r>
        <w:t xml:space="preserve"> Tous les composants de ce produit figurent aux inventaires canadiens LIS (Liste intérieure des substances) et LES</w:t>
      </w:r>
    </w:p>
    <w:p>
      <w:r>
        <w:t xml:space="preserve"> (Liste extérieure des substances) (ou en sont exclus).</w:t>
      </w:r>
    </w:p>
    <w:p>
      <w:r>
        <w:t xml:space="preserve"/>
      </w:r>
    </w:p>
    <w:p>
      <w:r>
        <w:t xml:space="preserve"/>
      </w:r>
    </w:p>
    <w:p>
      <w:r>
        <w:t xml:space="preserve">15.2. Réglementations internationales</w:t>
      </w:r>
    </w:p>
    <w:p>
      <w:r>
        <w:t xml:space="preserve">Aucune information complémentaire disponible</w:t>
      </w:r>
    </w:p>
    <w:p>
      <w:r>
        <w:t xml:space="preserve">15.3. Réglementations des Etats - É-U</w:t>
      </w:r>
    </w:p>
    <w:p>
      <w:r>
        <w:t xml:space="preserve">Aucune information complémentaire disponible</w:t>
      </w:r>
    </w:p>
    <w:p>
      <w:r>
        <w:t xml:space="preserve"/>
      </w:r>
    </w:p>
    <w:p>
      <w:r>
        <w:t xml:space="preserve">SECTION 16: Autres informations</w:t>
      </w:r>
    </w:p>
    <w:p>
      <w:r>
        <w:t xml:space="preserve">Selon la norme sur la communication de risques (Hazard Communication Standard, CRF29 1910.1200) HazCom 2024 et</w:t>
      </w:r>
    </w:p>
    <w:p>
      <w:r>
        <w:t xml:space="preserve">selon le Règlement sur les produits dangereux (RPD) du SIMDUT 2022</w:t>
      </w:r>
    </w:p>
    <w:p>
      <w:r>
        <w:t xml:space="preserve">Date d'émission                                           : 2025-07-31</w:t>
      </w:r>
    </w:p>
    <w:p>
      <w:r>
        <w:t xml:space="preserve">Date de révision                                           : 2025-07-31</w:t>
      </w:r>
    </w:p>
    <w:p>
      <w:r>
        <w:t xml:space="preserve">Autres informations                                      : Aucun</w:t>
      </w:r>
    </w:p>
    <w:p>
      <w:r>
        <w:t xml:space="preserve">Version #                                                     : 1.0</w:t>
      </w:r>
    </w:p>
    <w:p>
      <w:r>
        <w:t xml:space="preserve">Préparé par                                                  : Nexreg Compliance Inc.</w:t>
      </w:r>
    </w:p>
    <w:p>
      <w:r>
        <w:t xml:space="preserve">                                    www.Nexreg.com</w:t>
      </w:r>
    </w:p>
    <w:p>
      <w:r>
        <w:t xml:space="preserve"/>
      </w:r>
    </w:p>
    <w:p>
      <w:r>
        <w:t xml:space="preserve"/>
      </w:r>
    </w:p>
    <w:p>
      <w:r>
        <w:t xml:space="preserve">Avis de non-responsabilité :</w:t>
      </w:r>
    </w:p>
    <w:p>
      <w:r>
        <w:t xml:space="preserve">Les renseignements contenus dans la présente fiche de données de sécurité ont été établis sur la base de nos</w:t>
      </w:r>
    </w:p>
    <w:p>
      <w:r>
        <w:t xml:space="preserve">connaissances à la date de sa publication. Ils sont fournis uniquement à titre indicatif pour permettre la manipulation, la</w:t>
      </w:r>
    </w:p>
    <w:p>
      <w:r>
        <w:t xml:space="preserve">fabrication, le stockage, le transport, la distribution, la mise à disposition, l’utilisation et l’élimination dudit produit dans des</w:t>
      </w:r>
    </w:p>
    <w:p>
      <w:r>
        <w:t xml:space="preserve">conditions satisfaisantes de sécurité, et ne sauraient donc être interprétés comme une garantie ou considérés comme des</w:t>
      </w:r>
    </w:p>
    <w:p>
      <w:r>
        <w:t xml:space="preserve">spécifications de qualité. Les renseignements ne concernent en outre que le produit nommément désigné et, sauf</w:t>
      </w:r>
    </w:p>
    <w:p>
      <w:r>
        <w:t xml:space="preserve">indication contraire fournie dans la fiche, peuvent ne pas être applicables au mélange dudit produit avec d’autres</w:t>
      </w:r>
    </w:p>
    <w:p>
      <w:r>
        <w:t xml:space="preserve">substances ni être utilisables dans tout autre procédé.</w:t>
      </w:r>
    </w:p>
    <w:p>
      <w:r>
        <w:t xml:space="preserve"/>
      </w:r>
    </w:p>
    <w:p>
      <w:r>
        <w:t xml:space="preserve">Ce produit est uniquement conçu dans le but de servir dans le cadre de travaux de recherche ou d’expériences. Il ne doit</w:t>
      </w:r>
    </w:p>
    <w:p>
      <w:r>
        <w:t xml:space="preserve">pas être utilisé à des fins alimentaires, thérapeutiques, ménagères, agricoles ou esthétiques. Il doit être utilisé sous la</w:t>
      </w:r>
    </w:p>
    <w:p>
      <w:r>
        <w:t xml:space="preserve">supervision d’un personnel technique qualifié et disposant d’une expérience pratique de la manipulation de substances</w:t>
      </w:r>
    </w:p>
    <w:p>
      <w:r>
        <w:t xml:space="preserve">chimiques potentiellement dangereuses. Outre le solvant contenu dans ce produit (le cas échéant), les autres substances</w:t>
      </w:r>
    </w:p>
    <w:p>
      <w:r>
        <w:t xml:space="preserve">dangereuses dans la solution présentent des concentrations si faibles que la détermination exacte du degré de danger</w:t>
      </w:r>
    </w:p>
    <w:p>
      <w:r>
        <w:t xml:space="preserve">qu’elles pourraient poser n’est pas justifiée et pourrait même s’avérer trompeuse. Enfin, nous ne pouvons être tenus</w:t>
      </w:r>
    </w:p>
    <w:p>
      <w:r>
        <w:t xml:space="preserve">responsables des dommages qui pourraient résulter de la manipulation de ce produit ou d’un contact avec celui-ci.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FR-CA (français - CA)                                            8/8</w:t>
      </w:r>
    </w:p>
    <w:sectPr>
      <w:pgSz w:w="11906" w:h="16838"/>
      <w:pgMar w:top="1134" w:right="1134" w:bottom="1134" w:left="1134"/>
    </w:sectPr>
  </w:body>
</w:document>
</file>