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Iron-58 SDS</w:t>
      </w:r>
    </w:p>
    <w:p>
      <w:r>
        <w:t xml:space="preserve">Publisher: Neonest AB</w:t>
      </w:r>
    </w:p>
    <w:p>
      <w:r>
        <w:t xml:space="preserve">Source: https://resds.com/document/iron-58-isotope-sds-fe-58-58fe-iron-oxide-enriched-iron-oxide-3b66f7d3b6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Ferric Oxide, Enriched Iron Oxide. </w:t>
      </w:r>
    </w:p>
    <w:p>
      <w:r>
        <w:t xml:space="preserve">Molecular weight:   159.69 </w:t>
      </w:r>
    </w:p>
    <w:p>
      <w:r>
        <w:t xml:space="preserve">Chemical formula:   Fe 2 O 3 </w:t>
      </w:r>
    </w:p>
    <w:p>
      <w:r>
        <w:t xml:space="preserve">Synonyms:   Anchred standard, Anhydrous iron oxide, Anhydrous oxide of iron, Armenian bole, Bauxite residue, Black</w:t>
      </w:r>
    </w:p>
    <w:p>
      <w:r>
        <w:t xml:space="preserve">oxide of iron, Blended red oxides of iron, Burntisland Red, Burnt umber, Calcotone Red, Caput mortuum, Colcothar,</w:t>
      </w:r>
    </w:p>
    <w:p>
      <w:r>
        <w:t xml:space="preserve">Colloidal ferric oxide, C.I. 77491, C.I. Pigment Red 101, C.I. Pigment Red 102, C.I. Pigment Red 101 and 102, Crocus</w:t>
      </w:r>
    </w:p>
    <w:p>
      <w:r>
        <w:t xml:space="preserve">martis adstringens, Deanox, Deanox DNX Pigments, Eisenoxyd, English Red, Ferric oxide, Ferric oxide (colloidal),</w:t>
      </w:r>
    </w:p>
    <w:p>
      <w:r>
        <w:t xml:space="preserve">Ferrugo, Iron oxide (ACGIH), Iron Oxide Red, Iron oxide pigments, Iron Red, Iron sesquioxide, Jeweler's rouge, Levanox</w:t>
      </w:r>
    </w:p>
    <w:p>
      <w:r>
        <w:t xml:space="preserve">Red 130A, Light Red, Manufactured iron oxides, Mars Brown, Mars Red, Natural iron oxides, Natural Red Oxide, Ochre,</w:t>
      </w:r>
    </w:p>
    <w:p>
      <w:r>
        <w:t xml:space="preserve">Prussian Brown, Quick rouge, Raddle, 11554 Red, Red Iron Oxide, Red ochre, Red oxide, Red oxide D3452, Red oxide</w:t>
      </w:r>
    </w:p>
    <w:p>
      <w:r>
        <w:t xml:space="preserve">D6984, Red oxide of iron, Rouge (ACGIH:OSHA), Rubigo, Sienna, Specular iron, Stone Red, Supra, Synthetic iron oxide,</w:t>
      </w:r>
    </w:p>
    <w:p>
      <w:r>
        <w:t xml:space="preserve">Venetian Red, Vitriol Red, Vog.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</w:t>
      </w:r>
    </w:p>
    <w:p>
      <w:r>
        <w:rPr>
          <w:b/>
        </w:rPr>
        <w:t xml:space="preserve">Page 2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2/9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Diiron trioxide </w:t>
      </w:r>
    </w:p>
    <w:p>
      <w:r>
        <w:t xml:space="preserve">1309-37-1 </w:t>
      </w:r>
    </w:p>
    <w:p>
      <w:r>
        <w:t xml:space="preserve">159.69   &gt;99%   Not Classified. </w:t>
      </w:r>
    </w:p>
    <w:p>
      <w:r>
        <w:t xml:space="preserve">215-168-2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 give artificial respiration. If breathing is</w:t>
      </w:r>
    </w:p>
    <w:p>
      <w:r>
        <w:t xml:space="preserve">difficult, give oxygen. </w:t>
      </w:r>
    </w:p>
    <w:p>
      <w:r>
        <w:t xml:space="preserve">In case of skin contact:   In case of contact, wash skin immediately with soap and copious amounts of water. </w:t>
      </w:r>
    </w:p>
    <w:p>
      <w:r>
        <w:t xml:space="preserve">In case of eye contact:   In case of contact, flush eyes immediately with copious amounts of water for at least 15</w:t>
      </w:r>
    </w:p>
    <w:p>
      <w:r>
        <w:t xml:space="preserve">minutes. Call a physician. </w:t>
      </w:r>
    </w:p>
    <w:p>
      <w:r>
        <w:t xml:space="preserve">In case of ingestion:   If swallowed, wash out mouth with water, provided patient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Keep unprotected persons away. Ensure adequate ventilation. </w:t>
      </w:r>
    </w:p>
    <w:p>
      <w:r>
        <w:t xml:space="preserve">Environmental precautions:   Do not allow material to be released to the environment without proper governmental</w:t>
      </w:r>
    </w:p>
    <w:p>
      <w:r>
        <w:t xml:space="preserve">permits.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sealed. Store in cool, dry place in tightly closed </w:t>
      </w:r>
    </w:p>
    <w:p>
      <w:r>
        <w:t xml:space="preserve">containers. Ensure good ventilation at the workplace. Do no store together with acids.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 </w:t>
      </w:r>
    </w:p>
    <w:p>
      <w:r>
        <w:t xml:space="preserve">Country   Source   Type   Value </w:t>
      </w:r>
    </w:p>
    <w:p>
      <w:r>
        <w:t xml:space="preserve">USA   ACGIH   TWA   5 mg/m 3   (E) </w:t>
      </w:r>
    </w:p>
    <w:p>
      <w:r>
        <w:t xml:space="preserve">USA   NIOSH   TWA   5 mg/m 3 </w:t>
      </w:r>
    </w:p>
    <w:p>
      <w:r>
        <w:t xml:space="preserve">USA   MSHA   Standard </w:t>
      </w:r>
    </w:p>
    <w:p>
      <w:r>
        <w:t xml:space="preserve">New Zealand   OEL </w:t>
      </w:r>
    </w:p>
    <w:p>
      <w:r>
        <w:t xml:space="preserve">Exposure Limits </w:t>
      </w:r>
    </w:p>
    <w:p>
      <w:r>
        <w:t xml:space="preserve">Country   Source   Type   Value </w:t>
      </w:r>
    </w:p>
    <w:p>
      <w:r>
        <w:t xml:space="preserve">Poland   NDS   5 mg/m 3 </w:t>
      </w:r>
    </w:p>
    <w:p>
      <w:r>
        <w:t xml:space="preserve">Poland   NDSCh   10 mg/m 3 </w:t>
      </w:r>
    </w:p>
    <w:p>
      <w:r>
        <w:t xml:space="preserve">Poland   NDSP </w:t>
      </w:r>
    </w:p>
    <w:p>
      <w:r>
        <w:t xml:space="preserve">Exposure controls: </w:t>
      </w:r>
    </w:p>
    <w:p>
      <w:r>
        <w:t xml:space="preserve">Appropriate engineering controls:   Safety shower and eye bath; mechanical exhaust having an average velocity of 100</w:t>
      </w:r>
    </w:p>
    <w:p>
      <w:r>
        <w:t xml:space="preserve">feet per minute.</w:t>
      </w:r>
    </w:p>
    <w:p>
      <w:r>
        <w:rPr>
          <w:b/>
        </w:rPr>
        <w:t xml:space="preserve">Page 4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Red-brown.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159.69 </w:t>
      </w:r>
    </w:p>
    <w:p>
      <w:r>
        <w:t xml:space="preserve">pH (concentration):   No data available. </w:t>
      </w:r>
    </w:p>
    <w:p>
      <w:r>
        <w:t xml:space="preserve">Melting point/range (° C):   1565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5.24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</w:t>
      </w:r>
    </w:p>
    <w:p>
      <w:r>
        <w:rPr>
          <w:b/>
        </w:rPr>
        <w:t xml:space="preserve">Page 6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6/9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 . </w:t>
      </w:r>
    </w:p>
    <w:p>
      <w:r>
        <w:t xml:space="preserve">SARA 311/312 Hazards:   Acute Health Hazard. </w:t>
      </w:r>
    </w:p>
    <w:p>
      <w:r>
        <w:t xml:space="preserve">Massachusetts Right to Know Components:   Diiron trioxide / CAS No. 1309-37-1 / Revision Date 2007-03-01 </w:t>
      </w:r>
    </w:p>
    <w:p>
      <w:r>
        <w:t xml:space="preserve">Pennsylvania Right to Know Components:   Diiron trioxide / CAS No. 1309-37-1 / Revision Date 2007-03-01 </w:t>
      </w:r>
    </w:p>
    <w:p>
      <w:r>
        <w:t xml:space="preserve">New Jersey Right to Know Components:   Diiron trioxide / CAS No. 1309-37-1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 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8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8/9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