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hexaboride (LaB6) SRM 660c SDS</w:t>
      </w:r>
    </w:p>
    <w:p>
      <w:r>
        <w:t xml:space="preserve">Publisher: National Institute of Standards and Technology (NIST)</w:t>
      </w:r>
    </w:p>
    <w:p>
      <w:r>
        <w:t xml:space="preserve">Source: https://resds.com/document/lanthanum-hexaboride-lab6-nist-srm-660c-en-1219bfa7c6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29 October 2015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 660c</w:t>
      </w:r>
    </w:p>
    <w:p>
      <w:r>
        <w:t xml:space="preserve">  SRM Name:     Line Position and Line Shape Standard for Powder Diffraction</w:t>
      </w:r>
    </w:p>
    <w:p>
      <w:r>
        <w:t xml:space="preserve">                   (Lanthanum Hexaboride Powder)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in calibration of diffraction line positions and line</w:t>
      </w:r>
    </w:p>
    <w:p>
      <w:r>
        <w:t xml:space="preserve">    shapes determined through powder diffractometry. A unit of SRM 660c consists of approximately 6 g of</w:t>
      </w:r>
    </w:p>
    <w:p>
      <w:r>
        <w:t xml:space="preserve">    lanthanum hexaboride, LaB6, powder bottled under argon gas.</w:t>
      </w:r>
    </w:p>
    <w:p>
      <w:r>
        <w:t xml:space="preserve"/>
      </w:r>
    </w:p>
    <w:p>
      <w:r>
        <w:t xml:space="preserve">   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 (International)</w:t>
      </w:r>
    </w:p>
    <w:p>
      <w:r>
        <w:t xml:space="preserve">     Website: http://www.nist.gov/srm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Not classified.</w:t>
      </w:r>
    </w:p>
    <w:p>
      <w:r>
        <w:t xml:space="preserve"/>
      </w:r>
    </w:p>
    <w:p>
      <w:r>
        <w:t xml:space="preserve">    Label Elements</w:t>
      </w:r>
    </w:p>
    <w:p>
      <w:r>
        <w:t xml:space="preserve">      Symbol: No Symbol.</w:t>
      </w:r>
    </w:p>
    <w:p>
      <w:r>
        <w:t xml:space="preserve"/>
      </w:r>
    </w:p>
    <w:p>
      <w:r>
        <w:t xml:space="preserve">       Signal Word: No Signal Word.</w:t>
      </w:r>
    </w:p>
    <w:p>
      <w:r>
        <w:t xml:space="preserve"/>
      </w:r>
    </w:p>
    <w:p>
      <w:r>
        <w:t xml:space="preserve">   Hazard Statement(s): Not applicable.</w:t>
      </w:r>
    </w:p>
    <w:p>
      <w:r>
        <w:t xml:space="preserve"/>
      </w:r>
    </w:p>
    <w:p>
      <w:r>
        <w:t xml:space="preserve">    Precautionary Statement(s): Not applicable.</w:t>
      </w:r>
    </w:p>
    <w:p>
      <w:r>
        <w:t xml:space="preserve"/>
      </w:r>
    </w:p>
    <w:p>
      <w:r>
        <w:t xml:space="preserve">   Hazards Not Otherwise Classified: Not applicable.</w:t>
      </w:r>
    </w:p>
    <w:p>
      <w:r>
        <w:t xml:space="preserve"/>
      </w:r>
    </w:p>
    <w:p>
      <w:r>
        <w:t xml:space="preserve">    Ingredients(s) with Unknown Acute Toxicity: Not applicable.</w:t>
      </w:r>
    </w:p>
    <w:p>
      <w:r>
        <w:t xml:space="preserve"/>
      </w:r>
    </w:p>
    <w:p>
      <w:r>
        <w:t xml:space="preserve"> 3. COMPOSITION AND INFORMATION ON HAZARDOUS INGREDIENTS</w:t>
      </w:r>
    </w:p>
    <w:p>
      <w:r>
        <w:t xml:space="preserve"/>
      </w:r>
    </w:p>
    <w:p>
      <w:r>
        <w:t xml:space="preserve">Substance: Lanthanum boride</w:t>
      </w:r>
    </w:p>
    <w:p>
      <w:r>
        <w:t xml:space="preserve"/>
      </w:r>
    </w:p>
    <w:p>
      <w:r>
        <w:t xml:space="preserve">Other Designations: Lanthanum hexaboride</w:t>
      </w:r>
    </w:p>
    <w:p>
      <w:r>
        <w:t xml:space="preserve"/>
      </w:r>
    </w:p>
    <w:p>
      <w:r>
        <w:t xml:space="preserve">Components are listed in compliance with OSHA’s 29 CFR 1910.1200; for the actual values see the Certificate of</w:t>
      </w:r>
    </w:p>
    <w:p>
      <w:r>
        <w:t xml:space="preserve">Analysis.</w:t>
      </w:r>
    </w:p>
    <w:p>
      <w:r>
        <w:t xml:space="preserve"/>
      </w:r>
    </w:p>
    <w:p>
      <w:r>
        <w:t xml:space="preserve"> Hazardous Component(s)       CAS Number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/>
      </w:r>
    </w:p>
    <w:p>
      <w:r>
        <w:t xml:space="preserve"> Lanthanum boride                   12008-21-8         234-531-6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660c                                                                             Page 1 of 5</w:t>
      </w:r>
    </w:p>
    <w:p>
      <w:r>
        <w:rPr>
          <w:b/>
        </w:rPr>
        <w:t xml:space="preserve">Page 2</w:t>
      </w:r>
    </w:p>
    <w:p>
      <w:r>
        <w:t xml:space="preserve"> 4. FIRST 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/>
      </w:r>
    </w:p>
    <w:p>
      <w:r>
        <w:t xml:space="preserve">    Skin Contact: Wash skin with soap and water for at least 15 minutes.  If necessary, seek medical attention.</w:t>
      </w:r>
    </w:p>
    <w:p>
      <w:r>
        <w:t xml:space="preserve"/>
      </w:r>
    </w:p>
    <w:p>
      <w:r>
        <w:t xml:space="preserve">   Eye Contact: Flush eyes with water for at least 15 minutes.  If necessary, seek medical attention.</w:t>
      </w:r>
    </w:p>
    <w:p>
      <w:r>
        <w:t xml:space="preserve"/>
      </w:r>
    </w:p>
    <w:p>
      <w:r>
        <w:t xml:space="preserve">    Ingestion:  If a large amount is swallowed, seek medical attention.</w:t>
      </w:r>
    </w:p>
    <w:p>
      <w:r>
        <w:t xml:space="preserve"/>
      </w:r>
    </w:p>
    <w:p>
      <w:r>
        <w:t xml:space="preserve">Most Important Symptoms/Effects, Acute and Delayed: No data available; generated dust may result in irritation.</w:t>
      </w:r>
    </w:p>
    <w:p>
      <w:r>
        <w:t xml:space="preserve"/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medical attention if needed.</w:t>
      </w:r>
    </w:p>
    <w:p>
      <w:r>
        <w:t xml:space="preserve"/>
      </w:r>
    </w:p>
    <w:p>
      <w:r>
        <w:t xml:space="preserve"> 5. FIRE FIGHTING MEASURES</w:t>
      </w:r>
    </w:p>
    <w:p>
      <w:r>
        <w:t xml:space="preserve"/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>Extinguishing Media:</w:t>
      </w:r>
    </w:p>
    <w:p>
      <w:r>
        <w:t xml:space="preserve">     Suitable: Use extinguishing media appropriate for the surrounding area.</w:t>
      </w:r>
    </w:p>
    <w:p>
      <w:r>
        <w:t xml:space="preserve">    Unsuitable: None listed.</w:t>
      </w:r>
    </w:p>
    <w:p>
      <w:r>
        <w:t xml:space="preserve"/>
      </w:r>
    </w:p>
    <w:p>
      <w:r>
        <w:t xml:space="preserve">Specific Hazards Arising from the Chemical: None listed.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 Move</w:t>
      </w:r>
    </w:p>
    <w:p>
      <w:r>
        <w:t xml:space="preserve">container from fire area if it can be done without risk. Stay upwind and keep out of low areas.</w:t>
      </w:r>
    </w:p>
    <w:p>
      <w:r>
        <w:t xml:space="preserve"/>
      </w:r>
    </w:p>
    <w:p>
      <w:r>
        <w:t xml:space="preserve">NFPA Ratings (0 = Minimal; 1 = Slight; 2 = Moderate; 3 = Serious; 4 = Severe)</w:t>
      </w:r>
    </w:p>
    <w:p>
      <w:r>
        <w:t xml:space="preserve"/>
      </w:r>
    </w:p>
    <w:p>
      <w:r>
        <w:t xml:space="preserve">    Health = 1            Fire = 0          Reactivity = 0</w:t>
      </w:r>
    </w:p>
    <w:p>
      <w:r>
        <w:t xml:space="preserve"/>
      </w:r>
    </w:p>
    <w:p>
      <w:r>
        <w:t xml:space="preserve"> 6. ACCIDENTAL RELEASE MEASURES</w:t>
      </w:r>
    </w:p>
    <w:p>
      <w:r>
        <w:t xml:space="preserve"/>
      </w:r>
    </w:p>
    <w:p>
      <w:r>
        <w:t xml:space="preserve">Personal Precautions, Protective Equipment and Emergency Procedures: Keep unnecessary personnel away.</w:t>
      </w:r>
    </w:p>
    <w:p>
      <w:r>
        <w:t xml:space="preserve">Use suitable protective equipment; see Section 8, “Exposure Controls and Personal Protection”.</w:t>
      </w:r>
    </w:p>
    <w:p>
      <w:r>
        <w:t xml:space="preserve"/>
      </w:r>
    </w:p>
    <w:p>
      <w:r>
        <w:t xml:space="preserve">Methods and Materials for Containment and Clean up: Notify safety personnel of spills. Collect spilled material</w:t>
      </w:r>
    </w:p>
    <w:p>
      <w:r>
        <w:t xml:space="preserve">in appropriate container for disposal. Isolate hazard area and deny entry.</w:t>
      </w:r>
    </w:p>
    <w:p>
      <w:r>
        <w:t xml:space="preserve"/>
      </w:r>
    </w:p>
    <w:p>
      <w:r>
        <w:t xml:space="preserve"> 7. HANDLING AND STORAGE</w:t>
      </w:r>
    </w:p>
    <w:p>
      <w:r>
        <w:t xml:space="preserve"/>
      </w:r>
    </w:p>
    <w:p>
      <w:r>
        <w:t xml:space="preserve">Safe Handling Precautions: Avoid generating dust. See Section 8, “Exposure Controls and Personal Protection”.</w:t>
      </w:r>
    </w:p>
    <w:p>
      <w:r>
        <w:t xml:space="preserve"/>
      </w:r>
    </w:p>
    <w:p>
      <w:r>
        <w:t xml:space="preserve">Storage: Store and handle in accordance with all current regulations and standards.</w:t>
      </w:r>
    </w:p>
    <w:p>
      <w:r>
        <w:t xml:space="preserve"/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Exposure Limits: No occupational exposure limits have been established for this material. The exposure limits for</w:t>
      </w:r>
    </w:p>
    <w:p>
      <w:r>
        <w:t xml:space="preserve">Particulates Not Otherwise Regulated are applicable.</w:t>
      </w:r>
    </w:p>
    <w:p>
      <w:r>
        <w:t xml:space="preserve"/>
      </w:r>
    </w:p>
    <w:p>
      <w:r>
        <w:t xml:space="preserve">   OSHA (PEL): 15 mg/m3 (TWA, total particulates)</w:t>
      </w:r>
    </w:p>
    <w:p>
      <w:r>
        <w:t xml:space="preserve">                 5 mg/m3 (TWA, respirable particulates)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/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 CFR 1910.134 must be followed.   Refer to NIOSH 42 CFR 84  for applicable certified</w:t>
      </w:r>
    </w:p>
    <w:p>
      <w:r>
        <w:t xml:space="preserve">     respirators.</w:t>
      </w:r>
    </w:p>
    <w:p>
      <w:r>
        <w:t xml:space="preserve"/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/>
      </w:r>
    </w:p>
    <w:p>
      <w:r>
        <w:t xml:space="preserve"/>
      </w:r>
    </w:p>
    <w:p>
      <w:r>
        <w:t xml:space="preserve">SRM 660c                                                                             Page 2 of 5</w:t>
      </w:r>
    </w:p>
    <w:p>
      <w:r>
        <w:rPr>
          <w:b/>
        </w:rPr>
        <w:t xml:space="preserve">Page 3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Descriptive Properties</w:t>
      </w:r>
    </w:p>
    <w:p>
      <w:r>
        <w:t xml:space="preserve"/>
      </w:r>
    </w:p>
    <w:p>
      <w:r>
        <w:t xml:space="preserve">     Appearance                                    purple crystalline powder</w:t>
      </w:r>
    </w:p>
    <w:p>
      <w:r>
        <w:t xml:space="preserve">      (physical state, color, etc.):</w:t>
      </w:r>
    </w:p>
    <w:p>
      <w:r>
        <w:t xml:space="preserve">     Molecular Formula:                       LaB6</w:t>
      </w:r>
    </w:p>
    <w:p>
      <w:r>
        <w:t xml:space="preserve">    Molar Mass (g/mol):                          203.78</w:t>
      </w:r>
    </w:p>
    <w:p>
      <w:r>
        <w:t xml:space="preserve">    Odor:                                                 odorless(a)</w:t>
      </w:r>
    </w:p>
    <w:p>
      <w:r>
        <w:t xml:space="preserve">    Odor threshold:                                not available</w:t>
      </w:r>
    </w:p>
    <w:p>
      <w:r>
        <w:t xml:space="preserve">    pH:                                             not available</w:t>
      </w:r>
    </w:p>
    <w:p>
      <w:r>
        <w:t xml:space="preserve">     Evaporation rate:                               not applicable</w:t>
      </w:r>
    </w:p>
    <w:p>
      <w:r>
        <w:t xml:space="preserve">     Melting point/freezing point (ºC):            ≈ 2210 (≈ 3812 ºF)(a)</w:t>
      </w:r>
    </w:p>
    <w:p>
      <w:r>
        <w:t xml:space="preserve">     Relative Density                                          4.7(a)</w:t>
      </w:r>
    </w:p>
    <w:p>
      <w:r>
        <w:t xml:space="preserve">       as specific gravity:</w:t>
      </w:r>
    </w:p>
    <w:p>
      <w:r>
        <w:t xml:space="preserve">    Vapor Pressure (mmHg):                       not applicable</w:t>
      </w:r>
    </w:p>
    <w:p>
      <w:r>
        <w:t xml:space="preserve">    Vapor Density (air = 1):                         not applicable</w:t>
      </w:r>
    </w:p>
    <w:p>
      <w:r>
        <w:t xml:space="preserve">      Viscosity (cP):                                  not applicable</w:t>
      </w:r>
    </w:p>
    <w:p>
      <w:r>
        <w:t xml:space="preserve">      Solubility(ies):                                   insoluble in water and HCl</w:t>
      </w:r>
    </w:p>
    <w:p>
      <w:r>
        <w:t xml:space="preserve">     Partition coefficient (n-octanol/water):          not available</w:t>
      </w:r>
    </w:p>
    <w:p>
      <w:r>
        <w:t xml:space="preserve">      Particle Size:                                   not available</w:t>
      </w:r>
    </w:p>
    <w:p>
      <w:r>
        <w:t xml:space="preserve"/>
      </w:r>
    </w:p>
    <w:p>
      <w:r>
        <w:t xml:space="preserve"> Thermal Stability Properties</w:t>
      </w:r>
    </w:p>
    <w:p>
      <w:r>
        <w:t xml:space="preserve">     Autoignition Temperature (ºC):                 not available</w:t>
      </w:r>
    </w:p>
    <w:p>
      <w:r>
        <w:t xml:space="preserve">    Thermal Decomposition (ºC):                   not available</w:t>
      </w:r>
    </w:p>
    <w:p>
      <w:r>
        <w:t xml:space="preserve">      Initial boiling point and boiling range:         decomposes</w:t>
      </w:r>
    </w:p>
    <w:p>
      <w:r>
        <w:t xml:space="preserve">     Explosive Limits, LEL (Volume %):            not available</w:t>
      </w:r>
    </w:p>
    <w:p>
      <w:r>
        <w:t xml:space="preserve">     Explosive Limits, UEL (Volume %):            not available</w:t>
      </w:r>
    </w:p>
    <w:p>
      <w:r>
        <w:t xml:space="preserve">     Flash Point (ºC):                                not available</w:t>
      </w:r>
    </w:p>
    <w:p>
      <w:r>
        <w:t xml:space="preserve">     Flammability (solid, gas):                       not available</w:t>
      </w:r>
    </w:p>
    <w:p>
      <w:r>
        <w:t xml:space="preserve"/>
      </w:r>
    </w:p>
    <w:p>
      <w:r>
        <w:t xml:space="preserve">(a) Vendor supplied health and safety information.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/>
      </w:r>
    </w:p>
    <w:p>
      <w:r>
        <w:t xml:space="preserve">      Stability:   X       Stable              Unstable</w:t>
      </w:r>
    </w:p>
    <w:p>
      <w:r>
        <w:t xml:space="preserve"/>
      </w:r>
    </w:p>
    <w:p>
      <w:r>
        <w:t xml:space="preserve">Possible Hazardous Reactions: No data available.</w:t>
      </w:r>
    </w:p>
    <w:p>
      <w:r>
        <w:t xml:space="preserve"/>
      </w:r>
    </w:p>
    <w:p>
      <w:r>
        <w:t xml:space="preserve">Conditions to Avoid: Generating dust.</w:t>
      </w:r>
    </w:p>
    <w:p>
      <w:r>
        <w:t xml:space="preserve"/>
      </w:r>
    </w:p>
    <w:p>
      <w:r>
        <w:t xml:space="preserve">Incompatible Materials: No data available.</w:t>
      </w:r>
    </w:p>
    <w:p>
      <w:r>
        <w:t xml:space="preserve"/>
      </w:r>
    </w:p>
    <w:p>
      <w:r>
        <w:t xml:space="preserve">Fire/Explosion Information: See Section 5, “Fire Fighting Measures”.</w:t>
      </w:r>
    </w:p>
    <w:p>
      <w:r>
        <w:t xml:space="preserve"/>
      </w:r>
    </w:p>
    <w:p>
      <w:r>
        <w:t xml:space="preserve">Hazardous Decomposition: Oxides of lanthanum and boron.</w:t>
      </w:r>
    </w:p>
    <w:p>
      <w:r>
        <w:t xml:space="preserve"/>
      </w:r>
    </w:p>
    <w:p>
      <w:r>
        <w:t xml:space="preserve">Hazardous Polymerization:          Will Occur 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            Ingestion</w:t>
      </w:r>
    </w:p>
    <w:p>
      <w:r>
        <w:t xml:space="preserve"/>
      </w:r>
    </w:p>
    <w:p>
      <w:r>
        <w:t xml:space="preserve">Symptoms Related to the Physical, Chemical and Toxicological Characteristics: May cause eye, skin and</w:t>
      </w:r>
    </w:p>
    <w:p>
      <w:r>
        <w:t xml:space="preserve">respiratory tract irritation.</w:t>
      </w:r>
    </w:p>
    <w:p>
      <w:r>
        <w:t xml:space="preserve"/>
      </w:r>
    </w:p>
    <w:p>
      <w:r>
        <w:t xml:space="preserve"/>
      </w:r>
    </w:p>
    <w:p>
      <w:r>
        <w:t xml:space="preserve">SRM 660c                                                                             Page 3 of 5</w:t>
      </w:r>
    </w:p>
    <w:p>
      <w:r>
        <w:rPr>
          <w:b/>
        </w:rPr>
        <w:t xml:space="preserve">Page 4</w:t>
      </w:r>
    </w:p>
    <w:p>
      <w:r>
        <w:t xml:space="preserve">Potential Health Effects (Acute, Chronic and Delayed):</w:t>
      </w:r>
    </w:p>
    <w:p>
      <w:r>
        <w:t xml:space="preserve"/>
      </w:r>
    </w:p>
    <w:p>
      <w:r>
        <w:t xml:space="preserve">    Inhalation: Inhalation may cause coughing, sneezing, runny nose and tightness in the chest.</w:t>
      </w:r>
    </w:p>
    <w:p>
      <w:r>
        <w:t xml:space="preserve"/>
      </w:r>
    </w:p>
    <w:p>
      <w:r>
        <w:t xml:space="preserve">    Skin Contact: Skin contact may cause itching, redness and swelling.</w:t>
      </w:r>
    </w:p>
    <w:p>
      <w:r>
        <w:t xml:space="preserve"/>
      </w:r>
    </w:p>
    <w:p>
      <w:r>
        <w:t xml:space="preserve">   Eye Contact: Eye contact may be painful with tearing, redness and swelling.</w:t>
      </w:r>
    </w:p>
    <w:p>
      <w:r>
        <w:t xml:space="preserve"/>
      </w:r>
    </w:p>
    <w:p>
      <w:r>
        <w:t xml:space="preserve">    Ingestion: No data available; ingestion of large amounts may result in adverse effects to the gastrointestinal</w:t>
      </w:r>
    </w:p>
    <w:p>
      <w:r>
        <w:t xml:space="preserve">    system.</w:t>
      </w:r>
    </w:p>
    <w:p>
      <w:r>
        <w:t xml:space="preserve"/>
      </w:r>
    </w:p>
    <w:p>
      <w:r>
        <w:t xml:space="preserve">Numerical Measures of Toxicity:</w:t>
      </w:r>
    </w:p>
    <w:p>
      <w:r>
        <w:t xml:space="preserve"/>
      </w:r>
    </w:p>
    <w:p>
      <w:r>
        <w:t xml:space="preserve">    Acute Toxicity: Not classified; no data available.</w:t>
      </w:r>
    </w:p>
    <w:p>
      <w:r>
        <w:t xml:space="preserve"/>
      </w:r>
    </w:p>
    <w:p>
      <w:r>
        <w:t xml:space="preserve">    Skin Corrosion/Irritation: Not classified; no data available.</w:t>
      </w:r>
    </w:p>
    <w:p>
      <w:r>
        <w:t xml:space="preserve"/>
      </w:r>
    </w:p>
    <w:p>
      <w:r>
        <w:t xml:space="preserve">    Serious Eye damage/ Eye irritation: Not classified; no data available.</w:t>
      </w:r>
    </w:p>
    <w:p>
      <w:r>
        <w:t xml:space="preserve"/>
      </w:r>
    </w:p>
    <w:p>
      <w:r>
        <w:t xml:space="preserve">    Respiratory Sensitization: Not classified; no data available.</w:t>
      </w:r>
    </w:p>
    <w:p>
      <w:r>
        <w:t xml:space="preserve"/>
      </w:r>
    </w:p>
    <w:p>
      <w:r>
        <w:t xml:space="preserve">    Skin Sensitization: Not classified; no data available.</w:t>
      </w:r>
    </w:p>
    <w:p>
      <w:r>
        <w:t xml:space="preserve"/>
      </w:r>
    </w:p>
    <w:p>
      <w:r>
        <w:t xml:space="preserve">   Germ Cell Mutagenicity: Not classified; no data available.</w:t>
      </w:r>
    </w:p>
    <w:p>
      <w:r>
        <w:t xml:space="preserve"/>
      </w:r>
    </w:p>
    <w:p>
      <w:r>
        <w:t xml:space="preserve">    Carcinogenicity: Not classified.</w:t>
      </w:r>
    </w:p>
    <w:p>
      <w:r>
        <w:t xml:space="preserve">        Listed as a Carcinogen/Potential Carcinogen              Yes       X   No</w:t>
      </w:r>
    </w:p>
    <w:p>
      <w:r>
        <w:t xml:space="preserve">       Lanthanum boride is not listed by NTP, IARC or OSHA as a carcinogen/potential carcinogen.</w:t>
      </w:r>
    </w:p>
    <w:p>
      <w:r>
        <w:t xml:space="preserve"/>
      </w:r>
    </w:p>
    <w:p>
      <w:r>
        <w:t xml:space="preserve">    Reproductive Toxicity: Not classified; no data available.</w:t>
      </w:r>
    </w:p>
    <w:p>
      <w:r>
        <w:t xml:space="preserve"/>
      </w:r>
    </w:p>
    <w:p>
      <w:r>
        <w:t xml:space="preserve">    Specific Target Organ Toxicity, Single Exposure: Not classified; no data available.</w:t>
      </w:r>
    </w:p>
    <w:p>
      <w:r>
        <w:t xml:space="preserve"/>
      </w:r>
    </w:p>
    <w:p>
      <w:r>
        <w:t xml:space="preserve">    Specific Target Organ Toxicity, Repeated Exposure: Not classified; no data available.</w:t>
      </w:r>
    </w:p>
    <w:p>
      <w:r>
        <w:t xml:space="preserve"/>
      </w:r>
    </w:p>
    <w:p>
      <w:r>
        <w:t xml:space="preserve">    Aspiration Hazard: Not classified; no data available.</w:t>
      </w:r>
    </w:p>
    <w:p>
      <w:r>
        <w:t xml:space="preserve"/>
      </w:r>
    </w:p>
    <w:p>
      <w:r>
        <w:t xml:space="preserve"> 12. ECOLOGICAL INFORMATION</w:t>
      </w:r>
    </w:p>
    <w:p>
      <w:r>
        <w:t xml:space="preserve"/>
      </w:r>
    </w:p>
    <w:p>
      <w:r>
        <w:t xml:space="preserve">Ecotoxicity Data: No data available.</w:t>
      </w:r>
    </w:p>
    <w:p>
      <w:r>
        <w:t xml:space="preserve"/>
      </w:r>
    </w:p>
    <w:p>
      <w:r>
        <w:t xml:space="preserve">Persistence and Degradability: No data available.</w:t>
      </w:r>
    </w:p>
    <w:p>
      <w:r>
        <w:t xml:space="preserve"/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/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> 13. DISPOSAL CONSIDERATIONS</w:t>
      </w:r>
    </w:p>
    <w:p>
      <w:r>
        <w:t xml:space="preserve"/>
      </w:r>
    </w:p>
    <w:p>
      <w:r>
        <w:t xml:space="preserve">Waste Disposal: Dispose of waste in accordance with all applicable federal, state, and local regulations.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/>
      </w:r>
    </w:p>
    <w:p>
      <w:r>
        <w:t xml:space="preserve">U.S. DOT and IATA: Not regulated by DOT or IATA.</w:t>
      </w:r>
    </w:p>
    <w:p>
      <w:r>
        <w:t xml:space="preserve"/>
      </w:r>
    </w:p>
    <w:p>
      <w:r>
        <w:t xml:space="preserve"> 15. REGULATORY INFORMATION</w:t>
      </w:r>
    </w:p>
    <w:p>
      <w:r>
        <w:t xml:space="preserve"/>
      </w:r>
    </w:p>
    <w:p>
      <w:r>
        <w:t xml:space="preserve">U.S. Regulations:</w:t>
      </w:r>
    </w:p>
    <w:p>
      <w:r>
        <w:t xml:space="preserve"/>
      </w:r>
    </w:p>
    <w:p>
      <w:r>
        <w:t xml:space="preserve">  CERCLA Sections 102a/103 (40 CFR 302.4): Not regulated.</w:t>
      </w:r>
    </w:p>
    <w:p>
      <w:r>
        <w:t xml:space="preserve"/>
      </w:r>
    </w:p>
    <w:p>
      <w:r>
        <w:t xml:space="preserve">  SARA Title III Section 302 (40 CFR 355.30): Not regulated.</w:t>
      </w:r>
    </w:p>
    <w:p>
      <w:r>
        <w:t xml:space="preserve"/>
      </w:r>
    </w:p>
    <w:p>
      <w:r>
        <w:t xml:space="preserve">  SARA Title III Section 304 (40 CFR 355.40): Not regulated.</w:t>
      </w:r>
    </w:p>
    <w:p>
      <w:r>
        <w:t xml:space="preserve"/>
      </w:r>
    </w:p>
    <w:p>
      <w:r>
        <w:t xml:space="preserve">  SARA Title III Section 313 (40 CFR 372.65): Not regulated.</w:t>
      </w:r>
    </w:p>
    <w:p>
      <w:r>
        <w:t xml:space="preserve"/>
      </w:r>
    </w:p>
    <w:p>
      <w:r>
        <w:t xml:space="preserve">  OSHA Process Safety (29 CFR 1910.119): 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660c                                                                             Page 4 of 5</w:t>
      </w:r>
    </w:p>
    <w:p>
      <w:r>
        <w:rPr>
          <w:b/>
        </w:rPr>
        <w:t xml:space="preserve">Page 5</w:t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>     ACUTE HEALTH:        No.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/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/>
      </w:r>
    </w:p>
    <w:p>
      <w:r>
        <w:t xml:space="preserve">U.S. TSCA Inventory: Listed.</w:t>
      </w:r>
    </w:p>
    <w:p>
      <w:r>
        <w:t xml:space="preserve"/>
      </w:r>
    </w:p>
    <w:p>
      <w:r>
        <w:t xml:space="preserve">TSCA 12(b), Export Notification: Not listed.</w:t>
      </w:r>
    </w:p>
    <w:p>
      <w:r>
        <w:t xml:space="preserve"/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> 16. OTHER INFORMATION</w:t>
      </w:r>
    </w:p>
    <w:p>
      <w:r>
        <w:t xml:space="preserve"/>
      </w:r>
    </w:p>
    <w:p>
      <w:r>
        <w:t xml:space="preserve">Issue Date: 29 October 2015</w:t>
      </w:r>
    </w:p>
    <w:p>
      <w:r>
        <w:t xml:space="preserve"/>
      </w:r>
    </w:p>
    <w:p>
      <w:r>
        <w:t xml:space="preserve">Sources:   ChemAdvisor, Inc., SDS Lanthanum Boride, 22 September 2015.</w:t>
      </w:r>
    </w:p>
    <w:p>
      <w:r>
        <w:t xml:space="preserve"/>
      </w:r>
    </w:p>
    <w:p>
      <w:r>
        <w:t xml:space="preserve">           Vendor MSDS, H.C. Starck, Lanthanum Boride, 16 March 2004.</w:t>
      </w:r>
    </w:p>
    <w:p>
      <w:r>
        <w:t xml:space="preserve"/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   Particulates   not   otherwise    regulated,   13   February   2015;    available    at</w:t>
      </w:r>
    </w:p>
    <w:p>
      <w:r>
        <w:t xml:space="preserve">            http://www.cdc.gov/niosh/npg/npgd0480.html (accessed Oct 2015).</w:t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/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Association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NIOSH        National Institute for Occupational Safety and Health  UEL         Upper Explosive Limit</w:t>
      </w:r>
    </w:p>
    <w:p>
      <w:r>
        <w:t xml:space="preserve"> NIST          National Institute of Standards and Technology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/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>SRM 660c                                                                             Page 5 of 5</w:t>
      </w:r>
    </w:p>
    <w:sectPr>
      <w:pgSz w:w="11906" w:h="16838"/>
      <w:pgMar w:top="1134" w:right="1134" w:bottom="1134" w:left="1134"/>
    </w:sectPr>
  </w:body>
</w:document>
</file>