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Lanthanum hexaboride powder NIST SRM 660b SDS</w:t>
      </w:r>
    </w:p>
    <w:p>
      <w:r>
        <w:t xml:space="preserve">Publisher: National Institute of Standards and Technology (NIST)</w:t>
      </w:r>
    </w:p>
    <w:p>
      <w:r>
        <w:t xml:space="preserve">Source: https://resds.com/document/lanthanum-hexaboride-lab6-powder-diffraction-standard-nist-srm-660b-en-da111a7eaf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Date of Issue:</w:t>
      </w:r>
    </w:p>
    <w:p>
      <w:r>
        <w:t xml:space="preserve">                                                                 01 August 2013</w:t>
      </w:r>
    </w:p>
    <w:p>
      <w:r>
        <w:t xml:space="preserve">               SAFETY DATA SHEET</w:t>
      </w:r>
    </w:p>
    <w:p>
      <w:r>
        <w:t xml:space="preserve"/>
      </w:r>
    </w:p>
    <w:p>
      <w:r>
        <w:t xml:space="preserve">1. SUBSTANCE AND SOURCE IDENTIFICATION</w:t>
      </w:r>
    </w:p>
    <w:p>
      <w:r>
        <w:t xml:space="preserve">Product Identifier</w:t>
      </w:r>
    </w:p>
    <w:p>
      <w:r>
        <w:t xml:space="preserve">  SRM Number:   660b</w:t>
      </w:r>
    </w:p>
    <w:p>
      <w:r>
        <w:t xml:space="preserve">  SRM Name:     Line Position and Line Shape Standard for Powder Diffraction</w:t>
      </w:r>
    </w:p>
    <w:p>
      <w:r>
        <w:t xml:space="preserve">    Other Means of Identification: Not applicable.</w:t>
      </w:r>
    </w:p>
    <w:p>
      <w:r>
        <w:t xml:space="preserve">Recommended Use of This Material and Restrictions of Use</w:t>
      </w:r>
    </w:p>
    <w:p>
      <w:r>
        <w:t xml:space="preserve">    This Standard Reference Material (SRM) is intended for use in calibration of diffraction line positions and line</w:t>
      </w:r>
    </w:p>
    <w:p>
      <w:r>
        <w:t xml:space="preserve">    shapes determined through powder diffractometry. A unit of SRM 660b consists of approximately 6 g of</w:t>
      </w:r>
    </w:p>
    <w:p>
      <w:r>
        <w:t xml:space="preserve">    lanthanum hexaboride, LaB6, powder bottled under argon.</w:t>
      </w:r>
    </w:p>
    <w:p>
      <w:r>
        <w:t xml:space="preserve">   Company Information</w:t>
      </w:r>
    </w:p>
    <w:p>
      <w:r>
        <w:t xml:space="preserve">    National Institute of Standards and Technology</w:t>
      </w:r>
    </w:p>
    <w:p>
      <w:r>
        <w:t xml:space="preserve">    Standard Reference Materials Program</w:t>
      </w:r>
    </w:p>
    <w:p>
      <w:r>
        <w:t xml:space="preserve">    100 Bureau Drive, Stop 2300</w:t>
      </w:r>
    </w:p>
    <w:p>
      <w:r>
        <w:t xml:space="preserve">    Gaithersburg, Maryland 20899-2300</w:t>
      </w:r>
    </w:p>
    <w:p>
      <w:r>
        <w:t xml:space="preserve"/>
      </w:r>
    </w:p>
    <w:p>
      <w:r>
        <w:t xml:space="preserve">    Telephone: 301-975-2200                         Emergency Telephone ChemTrec:</w:t>
      </w:r>
    </w:p>
    <w:p>
      <w:r>
        <w:t xml:space="preserve">   FAX: 301-948-3730                                  1-800-424-9300   (North America)</w:t>
      </w:r>
    </w:p>
    <w:p>
      <w:r>
        <w:t xml:space="preserve">    E-mail: SRMMSDS@nist.gov                       +1-703-527-3887    (International)</w:t>
      </w:r>
    </w:p>
    <w:p>
      <w:r>
        <w:t xml:space="preserve">    Website: http://www.nist.gov/srm</w:t>
      </w:r>
    </w:p>
    <w:p>
      <w:r>
        <w:t xml:space="preserve">2. HAZARDS IDENTIFICATION</w:t>
      </w:r>
    </w:p>
    <w:p>
      <w:r>
        <w:t xml:space="preserve">Classification</w:t>
      </w:r>
    </w:p>
    <w:p>
      <w:r>
        <w:t xml:space="preserve">    Physical Hazard:    Not classified.</w:t>
      </w:r>
    </w:p>
    <w:p>
      <w:r>
        <w:t xml:space="preserve">    Health Hazard:      Not classified.</w:t>
      </w:r>
    </w:p>
    <w:p>
      <w:r>
        <w:t xml:space="preserve"/>
      </w:r>
    </w:p>
    <w:p>
      <w:r>
        <w:t xml:space="preserve">    Label Elements</w:t>
      </w:r>
    </w:p>
    <w:p>
      <w:r>
        <w:t xml:space="preserve">      Symbol: No Symbol</w:t>
      </w:r>
    </w:p>
    <w:p>
      <w:r>
        <w:t xml:space="preserve">       Signal Word: No Signal Word</w:t>
      </w:r>
    </w:p>
    <w:p>
      <w:r>
        <w:t xml:space="preserve">   Hazard Statement(s): Not applicable.</w:t>
      </w:r>
    </w:p>
    <w:p>
      <w:r>
        <w:t xml:space="preserve">    Precautionary Statement(s): Not applicable.</w:t>
      </w:r>
    </w:p>
    <w:p>
      <w:r>
        <w:t xml:space="preserve">   Hazards Not Otherwise Classified: Not applicable.</w:t>
      </w:r>
    </w:p>
    <w:p>
      <w:r>
        <w:t xml:space="preserve">    Ingredients(s) with Unknown Acute Toxicity: Not applicable.</w:t>
      </w:r>
    </w:p>
    <w:p>
      <w:r>
        <w:t xml:space="preserve">3. COMPOSITION AND INFORMATION ON HAZARDOUS INGREDIENTS</w:t>
      </w:r>
    </w:p>
    <w:p>
      <w:r>
        <w:t xml:space="preserve">Substance: Lanthanum Boride</w:t>
      </w:r>
    </w:p>
    <w:p>
      <w:r>
        <w:t xml:space="preserve">Other Designations: Lanthanum hexaboride.</w:t>
      </w:r>
    </w:p>
    <w:p>
      <w:r>
        <w:t xml:space="preserve">Components are listed in compliance with OSHA’s 29 CFR 1910.1200; for the actual values see the Certificate of</w:t>
      </w:r>
    </w:p>
    <w:p>
      <w:r>
        <w:t xml:space="preserve">Analysis.</w:t>
      </w:r>
    </w:p>
    <w:p>
      <w:r>
        <w:t xml:space="preserve">Hazardous Component(s)       CAS Number    EC Number     Nominal Mass Concentration</w:t>
      </w:r>
    </w:p>
    <w:p>
      <w:r>
        <w:t xml:space="preserve">                                              (EINECS)                (%)</w:t>
      </w:r>
    </w:p>
    <w:p>
      <w:r>
        <w:t xml:space="preserve">Lanthanum Boride                   12008-21-8         234-531-6                100</w:t>
      </w:r>
    </w:p>
    <w:p>
      <w:r>
        <w:t xml:space="preserve"/>
      </w:r>
    </w:p>
    <w:p>
      <w:r>
        <w:t xml:space="preserve">4. FIRST AID MEASURES</w:t>
      </w:r>
    </w:p>
    <w:p>
      <w:r>
        <w:t xml:space="preserve">Description of First Aid Measures:</w:t>
      </w:r>
    </w:p>
    <w:p>
      <w:r>
        <w:t xml:space="preserve">    Inhalation:   If adverse effects occur, remove to uncontaminated area.   If not breathing, give  artificial</w:t>
      </w:r>
    </w:p>
    <w:p>
      <w:r>
        <w:t xml:space="preserve">     respiration or oxygen by qualified personnel. Seek immediate medical attention.</w:t>
      </w:r>
    </w:p>
    <w:p>
      <w:r>
        <w:t xml:space="preserve"/>
      </w:r>
    </w:p>
    <w:p>
      <w:r>
        <w:t xml:space="preserve">SRM 660b                                                                             Page 1 of 5</w:t>
      </w:r>
    </w:p>
    <w:p>
      <w:r>
        <w:rPr>
          <w:b/>
        </w:rPr>
        <w:t xml:space="preserve">Page 2</w:t>
      </w:r>
    </w:p>
    <w:p>
      <w:r>
        <w:t xml:space="preserve">    Skin Contact: Wash skin with soap and water for at least 15 minutes.  If necessary, seek medical attention.</w:t>
      </w:r>
    </w:p>
    <w:p>
      <w:r>
        <w:t xml:space="preserve">   Eye Contact: Flush eyes with water for at least 15 minutes.  If necessary, seek medical attention.</w:t>
      </w:r>
    </w:p>
    <w:p>
      <w:r>
        <w:t xml:space="preserve">    Ingestion:  If a large amount is swallowed, seek medical attention.</w:t>
      </w:r>
    </w:p>
    <w:p>
      <w:r>
        <w:t xml:space="preserve">Most Important Symptoms/Effects, Acute and Delayed:  No data available; generated dust may result in</w:t>
      </w:r>
    </w:p>
    <w:p>
      <w:r>
        <w:t xml:space="preserve">irritation.</w:t>
      </w:r>
    </w:p>
    <w:p>
      <w:r>
        <w:t xml:space="preserve">Indication of any immediate medical attention and special treatment needed, if necessary:  If any of the above</w:t>
      </w:r>
    </w:p>
    <w:p>
      <w:r>
        <w:t xml:space="preserve">symptoms are present, seek medical attention if needed.</w:t>
      </w:r>
    </w:p>
    <w:p>
      <w:r>
        <w:t xml:space="preserve">5. FIRE FIGHTING MEASURES</w:t>
      </w:r>
    </w:p>
    <w:p>
      <w:r>
        <w:t xml:space="preserve">Fire and Explosion Hazards:  Negligible fire hazard.  See Section 9, “Physical and Chemical Properties” for</w:t>
      </w:r>
    </w:p>
    <w:p>
      <w:r>
        <w:t xml:space="preserve">flammability properties.</w:t>
      </w:r>
    </w:p>
    <w:p>
      <w:r>
        <w:t xml:space="preserve">Extinguishing Media:</w:t>
      </w:r>
    </w:p>
    <w:p>
      <w:r>
        <w:t xml:space="preserve">     Suitable: Use extinguishing media appropriate for the surrounding area.</w:t>
      </w:r>
    </w:p>
    <w:p>
      <w:r>
        <w:t xml:space="preserve">    Unsuitable: None listed.</w:t>
      </w:r>
    </w:p>
    <w:p>
      <w:r>
        <w:t xml:space="preserve">Specific Hazards Arising from the Chemical: None listed.</w:t>
      </w:r>
    </w:p>
    <w:p>
      <w:r>
        <w:t xml:space="preserve">Special Protective Equipment and Precautions for Fire-Fighters: Avoid inhalation of material or combustion</w:t>
      </w:r>
    </w:p>
    <w:p>
      <w:r>
        <w:t xml:space="preserve">byproducts. Wear full protective clothing and NIOSH approved self-contained breathing apparatus (SCBA). Move</w:t>
      </w:r>
    </w:p>
    <w:p>
      <w:r>
        <w:t xml:space="preserve">container from fire area if it can be done without risk. Stay upwind and keep out of low areas.</w:t>
      </w:r>
    </w:p>
    <w:p>
      <w:r>
        <w:t xml:space="preserve">NFPA Ratings (0 = Minimal; 1 = Slight; 2 = Moderate; 3 = Serious; 4 = Severe)</w:t>
      </w:r>
    </w:p>
    <w:p>
      <w:r>
        <w:t xml:space="preserve">    Health = 1            Fire = 0          Reactivity = 0</w:t>
      </w:r>
    </w:p>
    <w:p>
      <w:r>
        <w:t xml:space="preserve">6. ACCIDENTAL RELEASE MEASURES</w:t>
      </w:r>
    </w:p>
    <w:p>
      <w:r>
        <w:t xml:space="preserve">Personal Precautions, Protective Equipment and Emergency Procedures: Keep unnecessary personnel away.</w:t>
      </w:r>
    </w:p>
    <w:p>
      <w:r>
        <w:t xml:space="preserve">Use suitable protective equipment; see Section 8, “Exposure Controls and Personal Protection”.</w:t>
      </w:r>
    </w:p>
    <w:p>
      <w:r>
        <w:t xml:space="preserve">Methods and Materials for Containment and Clean up:  Notify safety personnel of spills.  Collect spilled</w:t>
      </w:r>
    </w:p>
    <w:p>
      <w:r>
        <w:t xml:space="preserve">material in appropriate container for disposal. Isolate hazard area and deny entry.</w:t>
      </w:r>
    </w:p>
    <w:p>
      <w:r>
        <w:t xml:space="preserve">7. HANDLING AND STORAGE</w:t>
      </w:r>
    </w:p>
    <w:p>
      <w:r>
        <w:t xml:space="preserve">Safe Handling Precautions: Avoid generating dust. See Section 8, “Exposure Controls and Personal Protection”.</w:t>
      </w:r>
    </w:p>
    <w:p>
      <w:r>
        <w:t xml:space="preserve">Storage: Store and handling in accordance with all current regulations and standards.</w:t>
      </w:r>
    </w:p>
    <w:p>
      <w:r>
        <w:t xml:space="preserve">8. EXPOSURE CONTROLS AND PERSONAL PROTECTION</w:t>
      </w:r>
    </w:p>
    <w:p>
      <w:r>
        <w:t xml:space="preserve">Exposure Limits: No occupational exposure limits have been established for this material. The exposure limits for</w:t>
      </w:r>
    </w:p>
    <w:p>
      <w:r>
        <w:t xml:space="preserve">Particulates Not Otherwise Regulated are applicable.</w:t>
      </w:r>
    </w:p>
    <w:p>
      <w:r>
        <w:t xml:space="preserve">   OSHA (PEL): 15 mg/m3 (TWA, total particulates)</w:t>
      </w:r>
    </w:p>
    <w:p>
      <w:r>
        <w:t xml:space="preserve">                 5 mg/m3 (TWA, respirable particulates)</w:t>
      </w:r>
    </w:p>
    <w:p>
      <w:r>
        <w:t xml:space="preserve">Engineering Controls:  Provide local exhaust or process enclosure ventilation system. Ensure compliance with</w:t>
      </w:r>
    </w:p>
    <w:p>
      <w:r>
        <w:t xml:space="preserve">applicable exposure limits.</w:t>
      </w:r>
    </w:p>
    <w:p>
      <w:r>
        <w:t xml:space="preserve">Personal Protection: In accordance with OSHA 29 CFR 1910.132, subpart I, wear appropriate Personal Protective</w:t>
      </w:r>
    </w:p>
    <w:p>
      <w:r>
        <w:t xml:space="preserve">Equipment (PPE) to minimize exposure to this material.</w:t>
      </w:r>
    </w:p>
    <w:p>
      <w:r>
        <w:t xml:space="preserve">Respiratory Protection:   If workplace conditions warrant a respirator, a respiratory protection program that meets</w:t>
      </w:r>
    </w:p>
    <w:p>
      <w:r>
        <w:t xml:space="preserve">OSHA 29CFR 1910.134 must be followed.  Refer to NIOSH 42 CFR 84 for applicable certified respirators.</w:t>
      </w:r>
    </w:p>
    <w:p>
      <w:r>
        <w:t xml:space="preserve">Eye/Face Protection:  Wear splash resistant safety goggles with a face shield. An eyewash station should be</w:t>
      </w:r>
    </w:p>
    <w:p>
      <w:r>
        <w:t xml:space="preserve">readily available near areas of use.</w:t>
      </w:r>
    </w:p>
    <w:p>
      <w:r>
        <w:t xml:space="preserve">Skin and Body Protection:  Personal protective equipment for the body should be selected based on the task</w:t>
      </w:r>
    </w:p>
    <w:p>
      <w:r>
        <w:t xml:space="preserve">being performed and the risks involved and should be approved by a specialist before handling this product.</w:t>
      </w:r>
    </w:p>
    <w:p>
      <w:r>
        <w:t xml:space="preserve">Chemical-resistant gloves should be worn at all times when handling chemicals.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660b                                                                             Page 2 of 5</w:t>
      </w:r>
    </w:p>
    <w:p>
      <w:r>
        <w:rPr>
          <w:b/>
        </w:rPr>
        <w:t xml:space="preserve">Page 3</w:t>
      </w:r>
    </w:p>
    <w:p>
      <w:r>
        <w:t xml:space="preserve">9. PHYSICAL AND CHEMICAL PROPERTIES</w:t>
      </w:r>
    </w:p>
    <w:p>
      <w:r>
        <w:t xml:space="preserve"/>
      </w:r>
    </w:p>
    <w:p>
      <w:r>
        <w:t xml:space="preserve">Descriptive Properties:</w:t>
      </w:r>
    </w:p>
    <w:p>
      <w:r>
        <w:t xml:space="preserve">   Appearance                                          purple crystalline powder</w:t>
      </w:r>
    </w:p>
    <w:p>
      <w:r>
        <w:t xml:space="preserve">    (physical state, color, etc.):</w:t>
      </w:r>
    </w:p>
    <w:p>
      <w:r>
        <w:t xml:space="preserve">    Molecular Formula:                            LaB6</w:t>
      </w:r>
    </w:p>
    <w:p>
      <w:r>
        <w:t xml:space="preserve">   Molar Mass (g/mol):                               203.78</w:t>
      </w:r>
    </w:p>
    <w:p>
      <w:r>
        <w:t xml:space="preserve">   Odor:                                                not available</w:t>
      </w:r>
    </w:p>
    <w:p>
      <w:r>
        <w:t xml:space="preserve">   Odor threshold:                                      not available</w:t>
      </w:r>
    </w:p>
    <w:p>
      <w:r>
        <w:t xml:space="preserve">   pH:                                                  not available</w:t>
      </w:r>
    </w:p>
    <w:p>
      <w:r>
        <w:t xml:space="preserve">    Evaporation rate:                                    not applicable</w:t>
      </w:r>
    </w:p>
    <w:p>
      <w:r>
        <w:t xml:space="preserve">    Melting point/freezing point (ºC):                    not available</w:t>
      </w:r>
    </w:p>
    <w:p>
      <w:r>
        <w:t xml:space="preserve">    Relative Density (g/L):                             2.610 (relative to water)</w:t>
      </w:r>
    </w:p>
    <w:p>
      <w:r>
        <w:t xml:space="preserve">   Vapor Pressure (mmHg):                            not applicable</w:t>
      </w:r>
    </w:p>
    <w:p>
      <w:r>
        <w:t xml:space="preserve">   Vapor Density (air = 1):                              not applicable</w:t>
      </w:r>
    </w:p>
    <w:p>
      <w:r>
        <w:t xml:space="preserve">    Viscosity (cP):                                        not applicable</w:t>
      </w:r>
    </w:p>
    <w:p>
      <w:r>
        <w:t xml:space="preserve">     Solubility(ies):                                         insoluble in water and HCl</w:t>
      </w:r>
    </w:p>
    <w:p>
      <w:r>
        <w:t xml:space="preserve">    Partition coefficient (n-octanol/water):               not available</w:t>
      </w:r>
    </w:p>
    <w:p>
      <w:r>
        <w:t xml:space="preserve">    Particle Size (if relevant)                             not available</w:t>
      </w:r>
    </w:p>
    <w:p>
      <w:r>
        <w:t xml:space="preserve">Thermal Stability Properties:</w:t>
      </w:r>
    </w:p>
    <w:p>
      <w:r>
        <w:t xml:space="preserve">    Autoignition Temperature (ºC):                      not available</w:t>
      </w:r>
    </w:p>
    <w:p>
      <w:r>
        <w:t xml:space="preserve">   Thermal Decomposition (ºC):                        not available</w:t>
      </w:r>
    </w:p>
    <w:p>
      <w:r>
        <w:t xml:space="preserve">     Initial boiling point and boiling range (ºC):         decomposes</w:t>
      </w:r>
    </w:p>
    <w:p>
      <w:r>
        <w:t xml:space="preserve">    Explosive Limits, LEL (Volume %):                  not available</w:t>
      </w:r>
    </w:p>
    <w:p>
      <w:r>
        <w:t xml:space="preserve">    Explosive Limits, UEL (Volume %):                  not available</w:t>
      </w:r>
    </w:p>
    <w:p>
      <w:r>
        <w:t xml:space="preserve">    Flash Point (ºC)                                      not available</w:t>
      </w:r>
    </w:p>
    <w:p>
      <w:r>
        <w:t xml:space="preserve">    Flammability (solid, gas):                            not available</w:t>
      </w:r>
    </w:p>
    <w:p>
      <w:r>
        <w:t xml:space="preserve"/>
      </w:r>
    </w:p>
    <w:p>
      <w:r>
        <w:t xml:space="preserve">10. STABILITY AND REACTIVITY</w:t>
      </w:r>
    </w:p>
    <w:p>
      <w:r>
        <w:t xml:space="preserve"/>
      </w:r>
    </w:p>
    <w:p>
      <w:r>
        <w:t xml:space="preserve">Reactivity: Stable at normal temperatures and pressure.</w:t>
      </w:r>
    </w:p>
    <w:p>
      <w:r>
        <w:t xml:space="preserve">Stability:     X       Stable              Unstable</w:t>
      </w:r>
    </w:p>
    <w:p>
      <w:r>
        <w:t xml:space="preserve">Possible Hazardous Reactions: No data available.</w:t>
      </w:r>
    </w:p>
    <w:p>
      <w:r>
        <w:t xml:space="preserve">Conditions to Avoid: Generating dust.</w:t>
      </w:r>
    </w:p>
    <w:p>
      <w:r>
        <w:t xml:space="preserve">Incompatible Materials: No data available.</w:t>
      </w:r>
    </w:p>
    <w:p>
      <w:r>
        <w:t xml:space="preserve">Fire/Explosion Information: See Section 5, “Fire Fighting Measures”.</w:t>
      </w:r>
    </w:p>
    <w:p>
      <w:r>
        <w:t xml:space="preserve">Hazardous Decomposition: Oxides of lanthanum and boron.</w:t>
      </w:r>
    </w:p>
    <w:p>
      <w:r>
        <w:t xml:space="preserve">Hazardous Polymerization:         Will Occur    X    Will Not Occur</w:t>
      </w:r>
    </w:p>
    <w:p>
      <w:r>
        <w:t xml:space="preserve"/>
      </w:r>
    </w:p>
    <w:p>
      <w:r>
        <w:t xml:space="preserve">11. TOXICOLOGICAL INFORMATION</w:t>
      </w:r>
    </w:p>
    <w:p>
      <w:r>
        <w:t xml:space="preserve"/>
      </w:r>
    </w:p>
    <w:p>
      <w:r>
        <w:t xml:space="preserve">Route of Exposure:   X    Inhalation     X    Skin                    Ingestion</w:t>
      </w:r>
    </w:p>
    <w:p>
      <w:r>
        <w:t xml:space="preserve">Symptoms Related to the Physical, Chemical and Toxicological Characteristics: No data available; generated</w:t>
      </w:r>
    </w:p>
    <w:p>
      <w:r>
        <w:t xml:space="preserve">dust may result in irritation.</w:t>
      </w:r>
    </w:p>
    <w:p>
      <w:r>
        <w:t xml:space="preserve">Potential Health Effects (Acute, Chronic and Delayed):</w:t>
      </w:r>
    </w:p>
    <w:p>
      <w:r>
        <w:t xml:space="preserve">    Inhalation: No data available; exposure may result in respiratory tract irritation.  Chronic exposure to the</w:t>
      </w:r>
    </w:p>
    <w:p>
      <w:r>
        <w:t xml:space="preserve">    vapors of some rare earth salts have been reported to result in itching and sensitivity to heat; bronchiolitis and</w:t>
      </w:r>
    </w:p>
    <w:p>
      <w:r>
        <w:t xml:space="preserve">    chemical pneumonitis have also been reported.</w:t>
      </w:r>
    </w:p>
    <w:p>
      <w:r>
        <w:t xml:space="preserve">SRM 660b                                                                             Page 3 of 5</w:t>
      </w:r>
    </w:p>
    <w:p>
      <w:r>
        <w:rPr>
          <w:b/>
        </w:rPr>
        <w:t xml:space="preserve">Page 4</w:t>
      </w:r>
    </w:p>
    <w:p>
      <w:r>
        <w:t xml:space="preserve">    Skin Contact: No data available; skin exposure may result in mechanical irritation.  Rare earth salts are</w:t>
      </w:r>
    </w:p>
    <w:p>
      <w:r>
        <w:t xml:space="preserve">    unlikely to cause irritation to intact skin</w:t>
      </w:r>
    </w:p>
    <w:p>
      <w:r>
        <w:t xml:space="preserve">   Eye Contact: No data available; dust may cause mechanical irritation.</w:t>
      </w:r>
    </w:p>
    <w:p>
      <w:r>
        <w:t xml:space="preserve">    Ingestion: No data available; ingestion of large amounts may result in adverse effects to the gastrointestinal</w:t>
      </w:r>
    </w:p>
    <w:p>
      <w:r>
        <w:t xml:space="preserve">    system.</w:t>
      </w:r>
    </w:p>
    <w:p>
      <w:r>
        <w:t xml:space="preserve">Numerical Measures of Toxicity:</w:t>
      </w:r>
    </w:p>
    <w:p>
      <w:r>
        <w:t xml:space="preserve">    Acute Toxicity: Not classified; no data available.</w:t>
      </w:r>
    </w:p>
    <w:p>
      <w:r>
        <w:t xml:space="preserve">    Skin Corrosion/Irritation: Not classified; no data available.</w:t>
      </w:r>
    </w:p>
    <w:p>
      <w:r>
        <w:t xml:space="preserve">    Serious Eye damage/ Eye irritation: Not classified; no data available.</w:t>
      </w:r>
    </w:p>
    <w:p>
      <w:r>
        <w:t xml:space="preserve">    Respiratory Sensitization: Not classified; no data available.</w:t>
      </w:r>
    </w:p>
    <w:p>
      <w:r>
        <w:t xml:space="preserve">    Skin Sensitization: Not classified; no data available.</w:t>
      </w:r>
    </w:p>
    <w:p>
      <w:r>
        <w:t xml:space="preserve">   Germ Cell Mutagenicity: Not classified; no data available.</w:t>
      </w:r>
    </w:p>
    <w:p>
      <w:r>
        <w:t xml:space="preserve">    Carcinogenicity: Not classified.</w:t>
      </w:r>
    </w:p>
    <w:p>
      <w:r>
        <w:t xml:space="preserve">        Listed as a Carcinogen/Potential Carcinogen              Yes       X   No</w:t>
      </w:r>
    </w:p>
    <w:p>
      <w:r>
        <w:t xml:space="preserve">       Lanthanum boride is not listed by NTP, IARC or OSHA as a carcinogen.</w:t>
      </w:r>
    </w:p>
    <w:p>
      <w:r>
        <w:t xml:space="preserve">    Reproductive Toxicity: Not classified; no data available.</w:t>
      </w:r>
    </w:p>
    <w:p>
      <w:r>
        <w:t xml:space="preserve">    Specific Target Organ Toxicity, Single Exposure: Not classified; no data available.</w:t>
      </w:r>
    </w:p>
    <w:p>
      <w:r>
        <w:t xml:space="preserve">    Specific Target Organ Toxicity, Repeated Exposure: Not classified; no data available.</w:t>
      </w:r>
    </w:p>
    <w:p>
      <w:r>
        <w:t xml:space="preserve">    Aspiration Hazard: Not classified; no data available.</w:t>
      </w:r>
    </w:p>
    <w:p>
      <w:r>
        <w:t xml:space="preserve">12. ECOLOGICAL INFORMATION</w:t>
      </w:r>
    </w:p>
    <w:p>
      <w:r>
        <w:t xml:space="preserve">Ecotoxicity Data: No data available.</w:t>
      </w:r>
    </w:p>
    <w:p>
      <w:r>
        <w:t xml:space="preserve">Persistence and Degradability: No data available.</w:t>
      </w:r>
    </w:p>
    <w:p>
      <w:r>
        <w:t xml:space="preserve">Bioaccumulative Potential: No data available.</w:t>
      </w:r>
    </w:p>
    <w:p>
      <w:r>
        <w:t xml:space="preserve">Mobility in Soil: No data available.</w:t>
      </w:r>
    </w:p>
    <w:p>
      <w:r>
        <w:t xml:space="preserve">Other Adverse effects: No data available.</w:t>
      </w:r>
    </w:p>
    <w:p>
      <w:r>
        <w:t xml:space="preserve">13. DISPOSAL CONSIDERATIONS</w:t>
      </w:r>
    </w:p>
    <w:p>
      <w:r>
        <w:t xml:space="preserve">Waste Disposal: Dispose of waste in accordance with all applicable federal, state, and local regulations.</w:t>
      </w:r>
    </w:p>
    <w:p>
      <w:r>
        <w:t xml:space="preserve">14. TRANSPORTATION INFORMATION</w:t>
      </w:r>
    </w:p>
    <w:p>
      <w:r>
        <w:t xml:space="preserve">U.S. DOT and IATA: Not regulated by DOT or IATA.</w:t>
      </w:r>
    </w:p>
    <w:p>
      <w:r>
        <w:t xml:space="preserve">15. REGULATORY INFORMATION</w:t>
      </w:r>
    </w:p>
    <w:p>
      <w:r>
        <w:t xml:space="preserve">U.S. Regulations:</w:t>
      </w:r>
    </w:p>
    <w:p>
      <w:r>
        <w:t xml:space="preserve">  CERCLA Sections 102a/103 (40 CFR 302.4): Not regulated.</w:t>
      </w:r>
    </w:p>
    <w:p>
      <w:r>
        <w:t xml:space="preserve">  SARA Title III Section 302 (40 CFR 355.30): Not regulated.</w:t>
      </w:r>
    </w:p>
    <w:p>
      <w:r>
        <w:t xml:space="preserve">  SARA Title III Section 304 (40 CFR 355.40): Not regulated.</w:t>
      </w:r>
    </w:p>
    <w:p>
      <w:r>
        <w:t xml:space="preserve">  SARA Title III Section 313 (40 CFR 372.65): Not regulated.</w:t>
      </w:r>
    </w:p>
    <w:p>
      <w:r>
        <w:t xml:space="preserve">  OSHA Process Safety (29 CFR 1910.119): Not regulated.</w:t>
      </w:r>
    </w:p>
    <w:p>
      <w:r>
        <w:t xml:space="preserve">  SARA Title III Sections 311/312 Hazardous Categories (40 CFR 370.21):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660b                                                                             Page 4 of 5</w:t>
      </w:r>
    </w:p>
    <w:p>
      <w:r>
        <w:rPr>
          <w:b/>
        </w:rPr>
        <w:t xml:space="preserve">Page 5</w:t>
      </w:r>
    </w:p>
    <w:p>
      <w:r>
        <w:t xml:space="preserve">     ACUTE HEALTH:        No.</w:t>
      </w:r>
    </w:p>
    <w:p>
      <w:r>
        <w:t xml:space="preserve">      CHRONIC HEALTH:     No.</w:t>
      </w:r>
    </w:p>
    <w:p>
      <w:r>
        <w:t xml:space="preserve">       FIRE:                   No.</w:t>
      </w:r>
    </w:p>
    <w:p>
      <w:r>
        <w:t xml:space="preserve">      REACTIVE:             No.</w:t>
      </w:r>
    </w:p>
    <w:p>
      <w:r>
        <w:t xml:space="preserve">      PRESSURE:             No.</w:t>
      </w:r>
    </w:p>
    <w:p>
      <w:r>
        <w:t xml:space="preserve">State Regulations:</w:t>
      </w:r>
    </w:p>
    <w:p>
      <w:r>
        <w:t xml:space="preserve">    California Proposition 65: Not listed.</w:t>
      </w:r>
    </w:p>
    <w:p>
      <w:r>
        <w:t xml:space="preserve">U.S. TSCA Inventory: Listed.</w:t>
      </w:r>
    </w:p>
    <w:p>
      <w:r>
        <w:t xml:space="preserve">TSCA 12(b), Export Notification: Not listed.</w:t>
      </w:r>
    </w:p>
    <w:p>
      <w:r>
        <w:t xml:space="preserve">Canadian Regulations:</w:t>
      </w:r>
    </w:p>
    <w:p>
      <w:r>
        <w:t xml:space="preserve">   WHMIS Information: Not provided for this material.</w:t>
      </w:r>
    </w:p>
    <w:p>
      <w:r>
        <w:t xml:space="preserve">16. OTHER INFORMATION</w:t>
      </w:r>
    </w:p>
    <w:p>
      <w:r>
        <w:t xml:space="preserve">Issue Date: 01 August 2013</w:t>
      </w:r>
    </w:p>
    <w:p>
      <w:r>
        <w:t xml:space="preserve">Sources:   ChemAdvisor, Inc., MSDS Lanthanum Boride, 23 June 2009.</w:t>
      </w:r>
    </w:p>
    <w:p>
      <w:r>
        <w:t xml:space="preserve">         CDC; NIOSH; NIOSH Pocket Guide to Chemical Hazards; Department of Health and Human</w:t>
      </w:r>
    </w:p>
    <w:p>
      <w:r>
        <w:t xml:space="preserve">             Services (DHHS), Centers for Disease Control and Prevention (CDC), National Institute for Safety and</w:t>
      </w:r>
    </w:p>
    <w:p>
      <w:r>
        <w:t xml:space="preserve">             Health;     Particulates     not     otherwise     regulated,    4 April 2011;     available      at</w:t>
      </w:r>
    </w:p>
    <w:p>
      <w:r>
        <w:t xml:space="preserve">            http://www.cdc.gov/niosh/npg/npgd0480.html (accessed July 2013).</w:t>
      </w:r>
    </w:p>
    <w:p>
      <w:r>
        <w:t xml:space="preserve"/>
      </w:r>
    </w:p>
    <w:p>
      <w:r>
        <w:t xml:space="preserve"/>
      </w:r>
    </w:p>
    <w:p>
      <w:r>
        <w:t xml:space="preserve">Key of Acronyms:</w:t>
      </w:r>
    </w:p>
    <w:p>
      <w:r>
        <w:t xml:space="preserve">ACGIH       American Conference of Governmental Industrial    NRC          Nuclear Regulatory Commission</w:t>
      </w:r>
    </w:p>
    <w:p>
      <w:r>
        <w:t xml:space="preserve">               Hygienists</w:t>
      </w:r>
    </w:p>
    <w:p>
      <w:r>
        <w:t xml:space="preserve">ALI          Annual Limit on Intake                     NTP           National Toxicology Program</w:t>
      </w:r>
    </w:p>
    <w:p>
      <w:r>
        <w:t xml:space="preserve">CAS         Chemical Abstracts Service                OSHA         Occupational Safety and Health Administration</w:t>
      </w:r>
    </w:p>
    <w:p>
      <w:r>
        <w:t xml:space="preserve">CERCLA     Comprehensive Environmental Response,         PEL           Permissible Exposure Level</w:t>
      </w:r>
    </w:p>
    <w:p>
      <w:r>
        <w:t xml:space="preserve">              Compensation, and Liability Act</w:t>
      </w:r>
    </w:p>
    <w:p>
      <w:r>
        <w:t xml:space="preserve">CFR         Code of Federal Regulations                RCRA        Resource Conservation and Recovery Act</w:t>
      </w:r>
    </w:p>
    <w:p>
      <w:r>
        <w:t xml:space="preserve">DOT         Department of Transportation                REL         Recommended Exposure Limit</w:t>
      </w:r>
    </w:p>
    <w:p>
      <w:r>
        <w:t xml:space="preserve">EC50          Effective Concentration, 50 %             RM           Reference Material</w:t>
      </w:r>
    </w:p>
    <w:p>
      <w:r>
        <w:t xml:space="preserve">EINECS      European Inventory of Existing Commercial       RQ            Reportable Quantity</w:t>
      </w:r>
    </w:p>
    <w:p>
      <w:r>
        <w:t xml:space="preserve">             Chemical Substances</w:t>
      </w:r>
    </w:p>
    <w:p>
      <w:r>
        <w:t xml:space="preserve">EPCRA      Emergency Planning and Community Right-to-Know  RTECS        Registry of Toxic Effects of Chemical Substances</w:t>
      </w:r>
    </w:p>
    <w:p>
      <w:r>
        <w:t xml:space="preserve">             Act</w:t>
      </w:r>
    </w:p>
    <w:p>
      <w:r>
        <w:t xml:space="preserve">IARC          International Agency for Research on Cancer      SARA        Superfund Amendments and Reauthorization Act</w:t>
      </w:r>
    </w:p>
    <w:p>
      <w:r>
        <w:t xml:space="preserve">IATA          International Air Transportation Agency         SCBA         Self-Contained Breathing Apparatus</w:t>
      </w:r>
    </w:p>
    <w:p>
      <w:r>
        <w:t xml:space="preserve">IDLH         Immediately Dangerous to Life and Health       SRM          Standard Reference Material</w:t>
      </w:r>
    </w:p>
    <w:p>
      <w:r>
        <w:t xml:space="preserve">LC50          Lethal Concentration, 50 %                   STEL          Short Term Exposure Level</w:t>
      </w:r>
    </w:p>
    <w:p>
      <w:r>
        <w:t xml:space="preserve">LD50          Lethal Dose, 50 %                       TLV          Threshold Limit Value</w:t>
      </w:r>
    </w:p>
    <w:p>
      <w:r>
        <w:t xml:space="preserve">LEL         Lower Explosive Limit                     TPQ          Threshold Planning Quantity</w:t>
      </w:r>
    </w:p>
    <w:p>
      <w:r>
        <w:t xml:space="preserve">MSDS         Material Safety Data Sheet                  TSCA         Toxic Substances Control Act</w:t>
      </w:r>
    </w:p>
    <w:p>
      <w:r>
        <w:t xml:space="preserve">NFPA         National Fire Protection Association          TWA        Time Weighted Average</w:t>
      </w:r>
    </w:p>
    <w:p>
      <w:r>
        <w:t xml:space="preserve">NIOSH        National Institute for Occupational Safety and Health  UEL         Upper Explosive Limit</w:t>
      </w:r>
    </w:p>
    <w:p>
      <w:r>
        <w:t xml:space="preserve">NIST          National Institute of Standards and Technology     WHMIS      Workplace Hazardous Materials Information System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Disclaimer:  Physical and chemical data contained in  this SDS are provided only for use in assessing the</w:t>
      </w:r>
    </w:p>
    <w:p>
      <w:r>
        <w:t xml:space="preserve">hazardous nature of the material. The SDS was prepared carefully, using current references; however, NIST does</w:t>
      </w:r>
    </w:p>
    <w:p>
      <w:r>
        <w:t xml:space="preserve">not certify the data in the SDS. The certified values for this material are given in the NIST Certificate of Analysis.</w:t>
      </w:r>
    </w:p>
    <w:p>
      <w:r>
        <w:t xml:space="preserve">Users of this SRM should ensure that the SDS in their possession is current. This can be accomplished by contacting</w:t>
      </w:r>
    </w:p>
    <w:p>
      <w:r>
        <w:t xml:space="preserve">the SRM Program: telephone (301) 975-2200; fax (301) 948-3730; e-mail srmmsds@nist.gov; or via the Internet at</w:t>
      </w:r>
    </w:p>
    <w:p>
      <w:r>
        <w:t xml:space="preserve">http://www.nist.gov/srm.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SRM 660b                                                                             Page 5 of 5</w:t>
      </w:r>
    </w:p>
    <w:sectPr>
      <w:pgSz w:w="11906" w:h="16838"/>
      <w:pgMar w:top="1134" w:right="1134" w:bottom="1134" w:left="1134"/>
    </w:sectPr>
  </w:body>
</w:document>
</file>