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chloride Heptahydrate 2119 SDS</w:t>
      </w:r>
    </w:p>
    <w:p>
      <w:r>
        <w:t xml:space="preserve">Publisher: ProChem, Inc.</w:t>
      </w:r>
    </w:p>
    <w:p>
      <w:r>
        <w:t xml:space="preserve">Source: https://resds.com/document/lanthanum-iii-chloride-heptahydrate-prochem-en-0f20480600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 (III) chloride Heptahydrate</w:t>
      </w:r>
    </w:p>
    <w:p>
      <w:r>
        <w:t xml:space="preserve"/>
      </w:r>
    </w:p>
    <w:p>
      <w:r>
        <w:t xml:space="preserve"> PRODUCT NUMBER:  2119</w:t>
      </w:r>
    </w:p>
    <w:p>
      <w:r>
        <w:t xml:space="preserve"/>
      </w:r>
    </w:p>
    <w:p>
      <w:r>
        <w:t xml:space="preserve"> CAS NUMBER:        10025-84-0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LaCl3 !7H2O</w:t>
      </w:r>
    </w:p>
    <w:p>
      <w:r>
        <w:t xml:space="preserve"/>
      </w:r>
    </w:p>
    <w:p>
      <w:r>
        <w:t xml:space="preserve"> Molecular Weight: 245.27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(III) chloride                                                  10025-84-0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proper container for disposal.</w:t>
      </w:r>
    </w:p>
    <w:p>
      <w:r>
        <w:t xml:space="preserve"> Finish cleaning area with water on the contaminated surface.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Do not breathe dust.</w:t>
      </w:r>
    </w:p>
    <w:p>
      <w:r>
        <w:t xml:space="preserve"> CONDITIONS FOR SAFE STORAGE: Store in cool, dry, and well-ventilated area. Store under dry inert gas. Hygroscopic.  Protect</w:t>
      </w:r>
    </w:p>
    <w:p>
      <w:r>
        <w:t xml:space="preserve">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245.27</w:t>
      </w:r>
    </w:p>
    <w:p>
      <w:r>
        <w:t xml:space="preserve"> BOILING POINT: 1000° C</w:t>
      </w:r>
    </w:p>
    <w:p>
      <w:r>
        <w:t xml:space="preserve"> MELTING POINT: 860° C</w:t>
      </w:r>
    </w:p>
    <w:p>
      <w:r>
        <w:t xml:space="preserve"> SPECIFIC GRAVITY: 3.842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Bases, water, and moisture</w:t>
      </w:r>
    </w:p>
    <w:p>
      <w:r>
        <w:t xml:space="preserve"> DECOMPOSITION PRODUCTS: Hydrogen chloride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rat – 4184mg/kg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SARA 302/304: Not Listed</w:t>
      </w:r>
    </w:p>
    <w:p>
      <w:r>
        <w:t xml:space="preserve"> SARA 311/312: Not Listed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NEW JERSEY RIGHT TO KNOW COMPONENTS: No components are subject to the New Jersey Right to Know Act.</w:t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