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(Lu) Standard Solution SRM 3130a SDS</w:t>
      </w:r>
    </w:p>
    <w:p>
      <w:r>
        <w:t xml:space="preserve">Publisher: National Institute of Standards and Technology (NIST)</w:t>
      </w:r>
    </w:p>
    <w:p>
      <w:r>
        <w:t xml:space="preserve">Source: https://resds.com/document/lutetium-lu-standard-solution-nist-srm-3130a-en-b9ad307e44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28 January 2015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3130a</w:t>
      </w:r>
    </w:p>
    <w:p>
      <w:r>
        <w:t xml:space="preserve">  SRM Name:     Lutetium (Lu) Standard Solution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lutetium. A unit of SRM 3130a consists of five 10 mL sealed borosilicate glass ampoules of an</w:t>
      </w:r>
    </w:p>
    <w:p>
      <w:r>
        <w:t xml:space="preserve">     acidified aqueous solution prepared gravimetrically from high-purity lutetium oxide to contain a known mass</w:t>
      </w:r>
    </w:p>
    <w:p>
      <w:r>
        <w:t xml:space="preserve">     fraction of lutetium. The solution contains nitric acid at a concentration (molarity) of approximately 1.6 mol/L.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P280              Wear protective gloves, protective clothing, and eye protection.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P310                Immediately call a doctor.</w:t>
      </w:r>
    </w:p>
    <w:p>
      <w:r>
        <w:t xml:space="preserve">   P363             Wash contaminated clothing before reuse.</w:t>
      </w:r>
    </w:p>
    <w:p>
      <w:r>
        <w:t xml:space="preserve">   P405                  Store locked up.</w:t>
      </w:r>
    </w:p>
    <w:p>
      <w:r>
        <w:t xml:space="preserve"/>
      </w:r>
    </w:p>
    <w:p>
      <w:r>
        <w:t xml:space="preserve">SRM 3130a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P501                Dispose of contents and container according to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Lutetium in nitric acid solution</w:t>
      </w:r>
    </w:p>
    <w:p>
      <w:r>
        <w:t xml:space="preserve">Other Designations:</w:t>
      </w:r>
    </w:p>
    <w:p>
      <w:r>
        <w:t xml:space="preserve">    Nitric acid (aqua fortis; hydrogen nitrate; azotic acid; engraver’s acid)</w:t>
      </w:r>
    </w:p>
    <w:p>
      <w:r>
        <w:t xml:space="preserve">   Lutetium nitrate [lutetium trinitrate; nitric acid, lutetium (3+) salt (3:1)]</w:t>
      </w:r>
    </w:p>
    <w:p>
      <w:r>
        <w:t xml:space="preserve"/>
      </w:r>
    </w:p>
    <w:p>
      <w:r>
        <w:t xml:space="preserve">NOTE:  Lutetium in nitric acid solution forms a solvated lutetium nitrate salt.  The health and physical hazard</w:t>
      </w:r>
    </w:p>
    <w:p>
      <w:r>
        <w:t xml:space="preserve">information provided in this SDS are for nitric acid and lutetium nitrate, a rare earth salt. No physical or chemical</w:t>
      </w:r>
    </w:p>
    <w:p>
      <w:r>
        <w:t xml:space="preserve">data are listed for this solution. The actual effects of the solution may differ from the individual components.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 Hazardous Component(s)       CAS Number     EC Number     Nominal Mass Concentration</w:t>
      </w:r>
    </w:p>
    <w:p>
      <w:r>
        <w:t xml:space="preserve">                                                (EINECS)               (%)</w:t>
      </w:r>
    </w:p>
    <w:p>
      <w:r>
        <w:t xml:space="preserve">  Nitric acid                           7697-37-2         231-714-2                 10</w:t>
      </w:r>
    </w:p>
    <w:p>
      <w:r>
        <w:t xml:space="preserve">  Lutetium nitrate                      10099-67-9         233-241-7                      2.1</w:t>
      </w:r>
    </w:p>
    <w:p>
      <w:r>
        <w:t xml:space="preserve"/>
      </w:r>
    </w:p>
    <w:p>
      <w:r>
        <w:t xml:space="preserve">  Non-Hazardous Component(s)</w:t>
      </w:r>
    </w:p>
    <w:p>
      <w:r>
        <w:t xml:space="preserve">  Water                               7732-18-5         231-791-2               &gt;87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Miscellaneous decomposition products.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3130a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                                       Exposure Limits</w:t>
      </w:r>
    </w:p>
    <w:p>
      <w:r>
        <w:t xml:space="preserve">  Component(s)     OSHA (PEL)         ACGIH (TLV)            NIOSH (REL)</w:t>
      </w:r>
    </w:p>
    <w:p>
      <w:r>
        <w:t xml:space="preserve">                                                                       5 mg/m3 (2 ppm) TWA                     5 mg/m3 (2 ppm)         5 mg/m3 (2 ppm) TWA   Nitric acid                                                            10 mg/m3 (4 ppm) STEL                TWA            10 mg/m3 (4 ppm) STEL                                                                      65 mg/m3 (25 ppm) IDLH</w:t>
      </w:r>
    </w:p>
    <w:p>
      <w:r>
        <w:t xml:space="preserve"/>
      </w:r>
    </w:p>
    <w:p>
      <w:r>
        <w:t xml:space="preserve">  Lutetium nitrate                      No occupational limits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3130a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>NOTE: The physical and chemical data provided are for the pure components.</w:t>
      </w:r>
    </w:p>
    <w:p>
      <w:r>
        <w:t xml:space="preserve"> Descriptive Properties                   Nitric acid              Lutetium nitrate</w:t>
      </w:r>
    </w:p>
    <w:p>
      <w:r>
        <w:t xml:space="preserve">                                    (10 % of this SRM)            (2.1 % of this SRM)</w:t>
      </w:r>
    </w:p>
    <w:p>
      <w:r>
        <w:t xml:space="preserve"/>
      </w:r>
    </w:p>
    <w:p>
      <w:r>
        <w:t xml:space="preserve">     Appearance (physical             colorless to yellow           not available</w:t>
      </w:r>
    </w:p>
    <w:p>
      <w:r>
        <w:t xml:space="preserve">      state, color, etc.)                   liquid</w:t>
      </w:r>
    </w:p>
    <w:p>
      <w:r>
        <w:t xml:space="preserve">     Molecular Formula          HNO3                    Lu(NO3)3</w:t>
      </w:r>
    </w:p>
    <w:p>
      <w:r>
        <w:t xml:space="preserve">    Molar Mass (g/mol)             63.01                      360.98</w:t>
      </w:r>
    </w:p>
    <w:p>
      <w:r>
        <w:t xml:space="preserve">    Odor                                  irritating odor               not available</w:t>
      </w:r>
    </w:p>
    <w:p>
      <w:r>
        <w:t xml:space="preserve">    Odor threshold (mg/m3)          not available                 not available</w:t>
      </w:r>
    </w:p>
    <w:p>
      <w:r>
        <w:t xml:space="preserve">    pH                          1 (1 M)                     not available</w:t>
      </w:r>
    </w:p>
    <w:p>
      <w:r>
        <w:t xml:space="preserve">     Evaporation rate                not available                 not applicable</w:t>
      </w:r>
    </w:p>
    <w:p>
      <w:r>
        <w:t xml:space="preserve">     Melting point/freezing         –42 ºC (–43 ºF)              not available</w:t>
      </w:r>
    </w:p>
    <w:p>
      <w:r>
        <w:t xml:space="preserve">     point</w:t>
      </w:r>
    </w:p>
    <w:p>
      <w:r>
        <w:t xml:space="preserve">     Relative Density as specific      1.5027 at 25 ºC              not available</w:t>
      </w:r>
    </w:p>
    <w:p>
      <w:r>
        <w:t xml:space="preserve">      gravity (water = 1)</w:t>
      </w:r>
    </w:p>
    <w:p>
      <w:r>
        <w:t xml:space="preserve">    Vapor Pressure (mmHg)         47.9 at 20 ºC                not available</w:t>
      </w:r>
    </w:p>
    <w:p>
      <w:r>
        <w:t xml:space="preserve">    Vapor Density (air = 1)          3.2                          not available</w:t>
      </w:r>
    </w:p>
    <w:p>
      <w:r>
        <w:t xml:space="preserve">      Viscosity                         not available                 not available</w:t>
      </w:r>
    </w:p>
    <w:p>
      <w:r>
        <w:t xml:space="preserve">      Solubility(ies)                    miscible with water          miscible in water</w:t>
      </w:r>
    </w:p>
    <w:p>
      <w:r>
        <w:t xml:space="preserve">                                   and ether</w:t>
      </w:r>
    </w:p>
    <w:p>
      <w:r>
        <w:t xml:space="preserve">      Partition coefficient              not available                 not available</w:t>
      </w:r>
    </w:p>
    <w:p>
      <w:r>
        <w:t xml:space="preserve">     (n-octanol/water)</w:t>
      </w:r>
    </w:p>
    <w:p>
      <w:r>
        <w:t xml:space="preserve"> Thermal Stability Properties</w:t>
      </w:r>
    </w:p>
    <w:p>
      <w:r>
        <w:t xml:space="preserve">     Autoignition Temperature       not applicable               not available</w:t>
      </w:r>
    </w:p>
    <w:p>
      <w:r>
        <w:t xml:space="preserve">    Thermal Decomposition         not applicable               not available</w:t>
      </w:r>
    </w:p>
    <w:p>
      <w:r>
        <w:t xml:space="preserve">      Initial boiling point and        83 ºC (181 ºF)               not available</w:t>
      </w:r>
    </w:p>
    <w:p>
      <w:r>
        <w:t xml:space="preserve">      boiling range</w:t>
      </w:r>
    </w:p>
    <w:p>
      <w:r>
        <w:t xml:space="preserve">     Explosive Limits, LEL           not applicable               not available</w:t>
      </w:r>
    </w:p>
    <w:p>
      <w:r>
        <w:t xml:space="preserve">     (Volume %)</w:t>
      </w:r>
    </w:p>
    <w:p>
      <w:r>
        <w:t xml:space="preserve">     Explosive Limits, UEL           not applicable               not available</w:t>
      </w:r>
    </w:p>
    <w:p>
      <w:r>
        <w:t xml:space="preserve">     (Volume %)</w:t>
      </w:r>
    </w:p>
    <w:p>
      <w:r>
        <w:t xml:space="preserve">     Flash Point                      not applicable               not available</w:t>
      </w:r>
    </w:p>
    <w:p>
      <w:r>
        <w:t xml:space="preserve">     Flammability (solid, gas)         not applicable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Stable  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  Thermal decomposition  will produce oxides of  nitrogen,  lutetium, and  other</w:t>
      </w:r>
    </w:p>
    <w:p>
      <w:r>
        <w:t xml:space="preserve">miscellaneous decomposition products.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3130a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Acid burns to skin, eyes, and</w:t>
      </w:r>
    </w:p>
    <w:p>
      <w:r>
        <w:t xml:space="preserve">lungs.</w:t>
      </w:r>
    </w:p>
    <w:p>
      <w:r>
        <w:t xml:space="preserve">Potential Health Effects (Acute, Chronic and Delayed):</w:t>
      </w:r>
    </w:p>
    <w:p>
      <w:r>
        <w:t xml:space="preserve">    Inhalation: Inhalation of acid fumes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Effects of acid burns may be delayed.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</w:t>
      </w:r>
    </w:p>
    <w:p>
      <w:r>
        <w:t xml:space="preserve">    Ingestion:  If ingested, nitric acid can cause severe burns and damage to the gastrointestinal tract.</w:t>
      </w:r>
    </w:p>
    <w:p>
      <w:r>
        <w:t xml:space="preserve">Numerical Measures of Toxicity</w:t>
      </w:r>
    </w:p>
    <w:p>
      <w:r>
        <w:t xml:space="preserve">    Acute Toxicity: Not classified.</w:t>
      </w:r>
    </w:p>
    <w:p>
      <w:r>
        <w:t xml:space="preserve">         Nitric acid: Rat, Inhalation LC50: 130 mg/m3 (4 h)</w:t>
      </w:r>
    </w:p>
    <w:p>
      <w:r>
        <w:t xml:space="preserve">        Lutetium nitrate: No data available.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>    Respiratory Sensitization: No data available.</w:t>
      </w:r>
    </w:p>
    <w:p>
      <w:r>
        <w:t xml:space="preserve">    Skin Sensitization: No data available.</w:t>
      </w:r>
    </w:p>
    <w:p>
      <w:r>
        <w:t xml:space="preserve">   Germ Cell Mutagenicity: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Yes       X   No</w:t>
      </w:r>
    </w:p>
    <w:p>
      <w:r>
        <w:t xml:space="preserve">         Nitric acid and lutetium nitrate are not listed by NTP, IARC or OSHA as carcinogens/potential carcinogens.</w:t>
      </w:r>
    </w:p>
    <w:p>
      <w:r>
        <w:t xml:space="preserve">    Reproductive Toxicity: Not classified.</w:t>
      </w:r>
    </w:p>
    <w:p>
      <w:r>
        <w:t xml:space="preserve">         Nitric acid: Rat, Oral TDLo: 21 150 mg/kg (pregnant 1 d to 21 d)</w:t>
      </w:r>
    </w:p>
    <w:p>
      <w:r>
        <w:t xml:space="preserve">                     Rat, Oral TDLo: 2345 mg/kg (pregnant 18 d)</w:t>
      </w:r>
    </w:p>
    <w:p>
      <w:r>
        <w:t xml:space="preserve">    Specific Target Organ Toxicity, Single Exposure: No data available.</w:t>
      </w:r>
    </w:p>
    <w:p>
      <w:r>
        <w:t xml:space="preserve">    Specific Target Organ Toxicity, Repeated Exposure: No data available.</w:t>
      </w:r>
    </w:p>
    <w:p>
      <w:r>
        <w:t xml:space="preserve">    Aspiration Hazard: No data available.</w:t>
      </w:r>
    </w:p>
    <w:p>
      <w:r>
        <w:t xml:space="preserve"> 12. ECOLOGICAL INFORMATION</w:t>
      </w:r>
    </w:p>
    <w:p>
      <w:r>
        <w:t xml:space="preserve">Ecotoxicity Data</w:t>
      </w:r>
    </w:p>
    <w:p>
      <w:r>
        <w:t xml:space="preserve">    Nitric acid: Fish, hooknose or pogge (Agonus cataphractus) LC50: 100 mg/L to 330 mg/L (48 h)</w:t>
      </w:r>
    </w:p>
    <w:p>
      <w:r>
        <w:t xml:space="preserve">   Lutetium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Hazardous Waste Numbers: nitric acid (D001, D002).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3130a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II,</w:t>
      </w:r>
    </w:p>
    <w:p>
      <w:r>
        <w:t xml:space="preserve">Excepted Qty: E2.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lbs. (454 kg) final RQ</w:t>
      </w:r>
    </w:p>
    <w:p>
      <w:r>
        <w:t xml:space="preserve">  SARA Title III Section 302 (40 CFR 355.30):  Nitric acid, 1000 lbs. (454 kg) TPQ</w:t>
      </w:r>
    </w:p>
    <w:p>
      <w:r>
        <w:t xml:space="preserve">  SARA Title III Section 304 (40 CFR 355.40):  Nitric acid, 1000 lbs. (454 kg) EPCRA RQ</w:t>
      </w:r>
    </w:p>
    <w:p>
      <w:r>
        <w:t xml:space="preserve">  SARA Title III Section 313 (40 CFR 372.65):  1 % de minimis concentration for nitric acid.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lbs. TQ (≥94.5 % by weight).</w:t>
      </w:r>
    </w:p>
    <w:p>
      <w:r>
        <w:t xml:space="preserve">  SARA Title III Sections 311/312 Hazardous Categories (40 CFR 370.21):</w:t>
      </w:r>
    </w:p>
    <w:p>
      <w:r>
        <w:t xml:space="preserve">     ACUTE HEALTH:       Yes</w:t>
      </w:r>
    </w:p>
    <w:p>
      <w:r>
        <w:t xml:space="preserve">      CHRONIC HEALTH:    No</w:t>
      </w:r>
    </w:p>
    <w:p>
      <w:r>
        <w:t xml:space="preserve">       FIRE:               No</w:t>
      </w:r>
    </w:p>
    <w:p>
      <w:r>
        <w:t xml:space="preserve">      REACTIVE:           No</w:t>
      </w:r>
    </w:p>
    <w:p>
      <w:r>
        <w:t xml:space="preserve">      PRESSURE:           No</w:t>
      </w:r>
    </w:p>
    <w:p>
      <w:r>
        <w:t xml:space="preserve">State Regulations: Not listed under California Proposition 65.</w:t>
      </w:r>
    </w:p>
    <w:p>
      <w:r>
        <w:t xml:space="preserve">U.S. TSCA Inventory: Nitric acid and lutetium nitrate are listed.</w:t>
      </w:r>
    </w:p>
    <w:p>
      <w:r>
        <w:t xml:space="preserve">TSCA 12(b), Export Notification: Not listed.</w:t>
      </w:r>
    </w:p>
    <w:p>
      <w:r>
        <w:t xml:space="preserve">Canadian Regulations: WHMIS Information is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3130a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>Issue Date: 28 January 2015</w:t>
      </w:r>
    </w:p>
    <w:p>
      <w:r>
        <w:t xml:space="preserve">Sources:   ChemAdvisor, Inc., SDS Nitric Acid, 15 December 2014.</w:t>
      </w:r>
    </w:p>
    <w:p>
      <w:r>
        <w:t xml:space="preserve">           ChemAdvisor, Inc., SDS Lutetium Nitrate Hexahydrate, 15 December 2014.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Nitric Acid, 18 November 2010; available at http://www.cdc.gov/niosh/npg/npgd0447.html</w:t>
      </w:r>
    </w:p>
    <w:p>
      <w:r>
        <w:t xml:space="preserve">             (accessed Jan 2015).</w:t>
      </w:r>
    </w:p>
    <w:p>
      <w:r>
        <w:t xml:space="preserve">           Hazardous Substances Data Bank (HSDB), National Library of Medicine's TOXNET system, Nitric</w:t>
      </w:r>
    </w:p>
    <w:p>
      <w:r>
        <w:t xml:space="preserve">            Acid CAS No. 7697-37-2; available at http://toxnet.nlm.nih.gov (accessed Jan 2015).</w:t>
      </w:r>
    </w:p>
    <w:p>
      <w:r>
        <w:t xml:space="preserve">           ChemIDplus  Advanced,  National  Library  of  Medicine's TOXNET  system,  Lutetium  Nitrate</w:t>
      </w:r>
    </w:p>
    <w:p>
      <w:r>
        <w:t xml:space="preserve">         CAS No. 10099-67-9; available at http://chem.sis.nlm.nih.gov/chemidplus/ (accessed Jan 2015).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Transportation Agency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 STOT          Specific Target Organ Toxicity</w:t>
      </w:r>
    </w:p>
    <w:p>
      <w:r>
        <w:t xml:space="preserve"> LEL         Lower Explosive Limit                    TLm          Threshold Limit, median</w:t>
      </w:r>
    </w:p>
    <w:p>
      <w:r>
        <w:t xml:space="preserve"> MSDS         Material Safety Data Sheet                  TLV          Threshold Limit Value</w:t>
      </w:r>
    </w:p>
    <w:p>
      <w:r>
        <w:t xml:space="preserve"> NFPA         National Fire Protection Association            TPQ          Threshold Planning Quantity</w:t>
      </w:r>
    </w:p>
    <w:p>
      <w:r>
        <w:t xml:space="preserve"> NIOSH        National Institute for Occupational Safety and Health  TSCA         Toxic Substances Control Act</w:t>
      </w:r>
    </w:p>
    <w:p>
      <w:r>
        <w:t xml:space="preserve"> NIST          National Institute of Standards and Technology    TWA        Time Weighted Average</w:t>
      </w:r>
    </w:p>
    <w:p>
      <w:r>
        <w:t xml:space="preserve">  n.o.s.         Not Otherwise Specified         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>SRM 3130a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