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Oxygen-18 SDS</w:t>
      </w:r>
    </w:p>
    <w:p>
      <w:r>
        <w:t xml:space="preserve">Publisher: Neonest AB</w:t>
      </w:r>
    </w:p>
    <w:p>
      <w:r>
        <w:t xml:space="preserve">Source: https://resds.com/document/oxygen-18-isotope-sds-o-18-18o-oxygen-18-water-enriched-oxygen-18-water-ed6d1893f9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Water, enriched in Oxygen 18. </w:t>
      </w:r>
    </w:p>
    <w:p>
      <w:r>
        <w:t xml:space="preserve">Molecular weight:   18.01528 </w:t>
      </w:r>
    </w:p>
    <w:p>
      <w:r>
        <w:t xml:space="preserve">Chemical formula:   H 2 O </w:t>
      </w:r>
    </w:p>
    <w:p>
      <w:r>
        <w:t xml:space="preserve">Synonyms:   Dihydrogen oxide; enriched water; heavy oxygen.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Water </w:t>
      </w:r>
    </w:p>
    <w:p>
      <w:r>
        <w:t xml:space="preserve">7732-18-5 </w:t>
      </w:r>
    </w:p>
    <w:p>
      <w:r>
        <w:t xml:space="preserve">18.01528   &gt;99%   Not Classified. </w:t>
      </w:r>
    </w:p>
    <w:p>
      <w:r>
        <w:t xml:space="preserve">231-791-2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person to fresh air. Seek immediate medical attention/advice. </w:t>
      </w:r>
    </w:p>
    <w:p>
      <w:r>
        <w:t xml:space="preserve">In case of skin contact:   None under normal use. </w:t>
      </w:r>
    </w:p>
    <w:p>
      <w:r>
        <w:t xml:space="preserve">In case of eye contact:   None under normal use. </w:t>
      </w:r>
    </w:p>
    <w:p>
      <w:r>
        <w:t xml:space="preserve">In case of ingestion:   None under normal use.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 : May be harmful if inhaled. Material may be irritating to mucous membranes and upper respiratory tract.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or CO 2 . Water spray, fog or regular foam. </w:t>
      </w:r>
    </w:p>
    <w:p>
      <w:r>
        <w:t xml:space="preserve">Unsuitable extinguishing media:   None known. </w:t>
      </w:r>
    </w:p>
    <w:p>
      <w:r>
        <w:t xml:space="preserve">Special hazards arising from the mixture:   May ignite combustibles (wood paper, oil, clothing, etc.). High oxygen</w:t>
      </w:r>
    </w:p>
    <w:p>
      <w:r>
        <w:t xml:space="preserve">concentrations vigorously accelerates combustion. Cylinders may rupture under extreme heat. Continue to cool fire</w:t>
      </w:r>
    </w:p>
    <w:p>
      <w:r>
        <w:t xml:space="preserve">exposed cylinders until flames are extinguished. Damaged cylinders should be handled only by specialists. </w:t>
      </w:r>
    </w:p>
    <w:p>
      <w:r>
        <w:t xml:space="preserve">Advice for fire-fighters:   As in any fire, wear self-contained breathing apparatus (pressure-demand, MSHA/NIOSH-</w:t>
      </w:r>
    </w:p>
    <w:p>
      <w:r>
        <w:t xml:space="preserve">approved or equivalent) and full protective gear.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Ensure adequate ventilation. Monitor oxygen level.</w:t>
      </w:r>
    </w:p>
    <w:p>
      <w:r>
        <w:rPr>
          <w:b/>
        </w:rPr>
        <w:t xml:space="preserve">Page 3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After a spill, the floor may be slippery. Wipe up the floor completely. Keep combustibles</w:t>
      </w:r>
    </w:p>
    <w:p>
      <w:r>
        <w:t xml:space="preserve">(wood, paper, oil, etc) away from spilled material.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User Exposure: Avoid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Mechanical exhaust. </w:t>
      </w:r>
    </w:p>
    <w:p>
      <w:r>
        <w:t xml:space="preserve">Individual protection measures, such as personal protective equipment: </w:t>
      </w:r>
    </w:p>
    <w:p>
      <w:r>
        <w:t xml:space="preserve">Eye protection:   Chemical safety goggles.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18.01528 </w:t>
      </w:r>
    </w:p>
    <w:p>
      <w:r>
        <w:t xml:space="preserve">pH (concentration):   6 - 8 </w:t>
      </w:r>
    </w:p>
    <w:p>
      <w:r>
        <w:t xml:space="preserve">Melting point/range (° C):   No data available. </w:t>
      </w:r>
    </w:p>
    <w:p>
      <w:r>
        <w:t xml:space="preserve">Boiling point/range (° C):   100 °C at 760 mm Hg </w:t>
      </w:r>
    </w:p>
    <w:p>
      <w:r>
        <w:t xml:space="preserve">Freezing point   (°C):   0  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</w:t>
      </w:r>
    </w:p>
    <w:p>
      <w:r>
        <w:rPr>
          <w:b/>
        </w:rPr>
        <w:t xml:space="preserve">Page 4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4/9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 gm/cm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Oxygen, hydrogen gas.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</w:t>
      </w:r>
    </w:p>
    <w:p>
      <w:r>
        <w:t xml:space="preserve">Rectal: Woman 180 g/kg: LDLO </w:t>
      </w:r>
    </w:p>
    <w:p>
      <w:r>
        <w:t xml:space="preserve">Remarks: Sense Organs and Special Senses (Nose, Eye, Ear, and Taste): Eye: Mydriasis (pupillary dilation). </w:t>
      </w:r>
    </w:p>
    <w:p>
      <w:r>
        <w:t xml:space="preserve">Behavioural: Convulsions or effect on seizure threshold. </w:t>
      </w:r>
    </w:p>
    <w:p>
      <w:r>
        <w:t xml:space="preserve">Gastrointestinal: Nausea or vomiting. </w:t>
      </w:r>
    </w:p>
    <w:p>
      <w:r>
        <w:t xml:space="preserve">Oral: Rat &gt;90 ml/kg: LD 50 </w:t>
      </w:r>
    </w:p>
    <w:p>
      <w:r>
        <w:t xml:space="preserve">Intra-peritoneal: Mouse 190 g/kg: LD 50 </w:t>
      </w:r>
    </w:p>
    <w:p>
      <w:r>
        <w:t xml:space="preserve">Intravenous: Mouse 25 g/kg: LD 50 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5/9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Will not bioconcentrate. Does not contain ozone-depleting chemical.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</w:t>
      </w:r>
    </w:p>
    <w:p>
      <w:r>
        <w:rPr>
          <w:b/>
        </w:rPr>
        <w:t xml:space="preserve">Page 6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6/9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TSCA:   Complies </w:t>
      </w:r>
    </w:p>
    <w:p>
      <w:r>
        <w:t xml:space="preserve">DSL:   Complies </w:t>
      </w:r>
    </w:p>
    <w:p>
      <w:r>
        <w:t xml:space="preserve">EINECS/ELINCS:   Complies </w:t>
      </w:r>
    </w:p>
    <w:p>
      <w:r>
        <w:t xml:space="preserve">U.S. Federal Regulations: </w:t>
      </w:r>
    </w:p>
    <w:p>
      <w:r>
        <w:t xml:space="preserve">SARA 313:   Section 313 of Title III of the Superfund Amendments and Reauthorization Act of 1986 (SARA). This product</w:t>
      </w:r>
    </w:p>
    <w:p>
      <w:r>
        <w:t xml:space="preserve">does not contain any chemicals which are subject to the reporting requirements of the Act and Title 40 of the Code of</w:t>
      </w:r>
    </w:p>
    <w:p>
      <w:r>
        <w:t xml:space="preserve">Federal Regulations, Part 372. </w:t>
      </w:r>
    </w:p>
    <w:p>
      <w:r>
        <w:t xml:space="preserve">SARA 311/312 Hazard Categories </w:t>
      </w:r>
    </w:p>
    <w:p>
      <w:r>
        <w:t xml:space="preserve">Acute Health Hazard:   No </w:t>
      </w:r>
    </w:p>
    <w:p>
      <w:r>
        <w:t xml:space="preserve">Chronic Health Hazard:   No </w:t>
      </w:r>
    </w:p>
    <w:p>
      <w:r>
        <w:t xml:space="preserve">Fire Hazard:   Yes </w:t>
      </w:r>
    </w:p>
    <w:p>
      <w:r>
        <w:t xml:space="preserve">Sudden Release of Pressure Hazard:   Yes </w:t>
      </w:r>
    </w:p>
    <w:p>
      <w:r>
        <w:t xml:space="preserve">Reactive Hazard:   No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(40 CFR 122.21 and 40 CFR 122.42).</w:t>
      </w:r>
    </w:p>
    <w:p>
      <w:r>
        <w:rPr>
          <w:b/>
        </w:rPr>
        <w:t xml:space="preserve">Page 7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7/9 </w:t>
      </w:r>
    </w:p>
    <w:p>
      <w:r>
        <w:t xml:space="preserve">Risk and Process Safety Management Programs:   This material, as supplied, does not contain any regulated</w:t>
      </w:r>
    </w:p>
    <w:p>
      <w:r>
        <w:t xml:space="preserve">substances with specified thresholds under 40 CFR Part 68. This product does not contain any substances regulated as</w:t>
      </w:r>
    </w:p>
    <w:p>
      <w:r>
        <w:t xml:space="preserve">Highly Hazardous Chemicals pursuant to the 29 CFR Part 1910.110. </w:t>
      </w:r>
    </w:p>
    <w:p>
      <w:r>
        <w:t xml:space="preserve">Clean Air Act:   Section 112 Hazardous Air Pollutants (HAPs) (see 40 CFR 61):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regional, or state level pertaining to releases of this material. </w:t>
      </w:r>
    </w:p>
    <w:p>
      <w:r>
        <w:t xml:space="preserve">U.S. State Regulations </w:t>
      </w:r>
    </w:p>
    <w:p>
      <w:r>
        <w:t xml:space="preserve">California Prop. 65: This product does not contain any Proposition 65 chemicals. </w:t>
      </w:r>
    </w:p>
    <w:p>
      <w:r>
        <w:t xml:space="preserve">International Regulations </w:t>
      </w:r>
    </w:p>
    <w:p>
      <w:r>
        <w:t xml:space="preserve">Canada:   This product has been classified in accordance with the hazard criteria of the Controlled Products Regulations</w:t>
      </w:r>
    </w:p>
    <w:p>
      <w:r>
        <w:t xml:space="preserve">(CPR) and the SDS contains all the information required by the CPR.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