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(III, IV) Oxide 2979 SDS</w:t>
      </w:r>
    </w:p>
    <w:p>
      <w:r>
        <w:t xml:space="preserve">Publisher: ProChem, Inc.</w:t>
      </w:r>
    </w:p>
    <w:p>
      <w:r>
        <w:t xml:space="preserve">Source: https://resds.com/document/praseodymium-iii-iv-oxide-prochem-en-f62ff24748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Praseodymium (III, IV) Oxide</w:t>
      </w:r>
    </w:p>
    <w:p>
      <w:r>
        <w:t xml:space="preserve"/>
      </w:r>
    </w:p>
    <w:p>
      <w:r>
        <w:t xml:space="preserve">PRODUCT NUMBER:  2979</w:t>
      </w:r>
    </w:p>
    <w:p>
      <w:r>
        <w:t xml:space="preserve"/>
      </w:r>
    </w:p>
    <w:p>
      <w:r>
        <w:t xml:space="preserve">CAS NUMBER:        12037-29-5</w:t>
      </w:r>
    </w:p>
    <w:p>
      <w:r>
        <w:t xml:space="preserve"/>
      </w:r>
    </w:p>
    <w:p>
      <w:r>
        <w:t xml:space="preserve">SYNONYMS:         Hexapraseodymium undecaoxide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Pr6O11</w:t>
      </w:r>
    </w:p>
    <w:p>
      <w:r>
        <w:t xml:space="preserve"/>
      </w:r>
    </w:p>
    <w:p>
      <w:r>
        <w:t xml:space="preserve">Molecular Weight: 1021.43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CAS#               %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Praseodymium (III, IV) Oxide                         12037-29-5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>PRASEODYMIUM (III, IV) OXIDE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 available.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protective equipment. Ensure adequate ventilation. Avoid breathing vapors, mist, or gas.</w:t>
      </w:r>
    </w:p>
    <w:p>
      <w:r>
        <w:t xml:space="preserve">ENVIRONMENTAL PRECAUTIONS: Do not let enter drains. Do not allow to be released into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 at places where dust is formed.</w:t>
      </w:r>
    </w:p>
    <w:p>
      <w:r>
        <w:t xml:space="preserve">CONDITIONS FOR SAFE STORAGE: Store material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Black powder</w:t>
      </w:r>
    </w:p>
    <w:p>
      <w:r>
        <w:t xml:space="preserve">MOLECULAR WEIGHT: 1021.43</w:t>
      </w:r>
    </w:p>
    <w:p>
      <w:r>
        <w:t xml:space="preserve">BOILING POINT: 4200° C</w:t>
      </w:r>
    </w:p>
    <w:p>
      <w:r>
        <w:t xml:space="preserve">MELTING POINT: 2500° C</w:t>
      </w:r>
    </w:p>
    <w:p>
      <w:r>
        <w:t xml:space="preserve">SPECIFIC GRAVITY: 7.07 gm/ml</w:t>
      </w:r>
    </w:p>
    <w:p>
      <w:r>
        <w:t xml:space="preserve">ODOR: Odorless</w:t>
      </w:r>
    </w:p>
    <w:p>
      <w:r>
        <w:t xml:space="preserve"/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Strong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PRASEODYMIUM (III, IV) OXIDE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Oral (rat); LD50: &gt;5 gm/kg. Intraperitoneal (mouse); Cytogenetic analysis: 77 mg/kg.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No SARA Hazards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Dipraseodymium trioxide</w:t>
      </w:r>
    </w:p>
    <w:p>
      <w:r>
        <w:t xml:space="preserve"/>
      </w:r>
    </w:p>
    <w:p>
      <w:r>
        <w:t xml:space="preserve">NEW JERSEY RIGHT TO KNOW COMPONENTS: Dipraseodymium trioxide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PRASEODYMIUM (III, IV) OXIDE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