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ProHance - Gadoteridol injection Sheet Code: 270 SDS</w:t>
      </w:r>
    </w:p>
    <w:p>
      <w:r>
        <w:t xml:space="preserve">Publisher: Bracco</w:t>
      </w:r>
    </w:p>
    <w:p>
      <w:r>
        <w:t xml:space="preserve">Source: https://resds.com/document/prohance-gadoteridol-injection-sds-en-60575bb690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Page 1/11</w:t>
      </w:r>
    </w:p>
    <w:p>
      <w:r>
        <w:t xml:space="preserve">                                       Safety Data Sheet</w:t>
      </w:r>
    </w:p>
    <w:p>
      <w:r>
        <w:t xml:space="preserve">                                               acc. to OSHA HCS</w:t>
      </w:r>
    </w:p>
    <w:p>
      <w:r>
        <w:t xml:space="preserve">                 Printing date 08/18/2016                        Version 3                      Reviewed on 08/18/2016</w:t>
      </w:r>
    </w:p>
    <w:p>
      <w:r>
        <w:t xml:space="preserve"/>
      </w:r>
    </w:p>
    <w:p>
      <w:r>
        <w:t xml:space="preserve">            1 Identification</w:t>
      </w:r>
    </w:p>
    <w:p>
      <w:r>
        <w:t xml:space="preserve">                Product identifier</w:t>
      </w:r>
    </w:p>
    <w:p>
      <w:r>
        <w:t xml:space="preserve">                   Sheet Code: 270</w:t>
      </w:r>
    </w:p>
    <w:p>
      <w:r>
        <w:t xml:space="preserve">                 Trade name: ProHance</w:t>
      </w:r>
    </w:p>
    <w:p>
      <w:r>
        <w:t xml:space="preserve">                 Chemical Name:</w:t>
      </w:r>
    </w:p>
    <w:p>
      <w:r>
        <w:t xml:space="preserve">                     10-(2-hydroxypropyl)-1,4,7,10-tetraazacyclododecane-1,4,7-triacetic acid, monogadolinium salt.</w:t>
      </w:r>
    </w:p>
    <w:p>
      <w:r>
        <w:t xml:space="preserve">                 Synonyms: Gadoteridol Injection</w:t>
      </w:r>
    </w:p>
    <w:p>
      <w:r>
        <w:t xml:space="preserve">             How Supplied:</w:t>
      </w:r>
    </w:p>
    <w:p>
      <w:r>
        <w:t xml:space="preserve">                  Packages of five single dose vials (5 mL fill in15 mL vial, and 10, 15, or 20 mL fills in 30 mL vials).</w:t>
      </w:r>
    </w:p>
    <w:p>
      <w:r>
        <w:t xml:space="preserve">                  Packages of five single dose prefilled syringes (10 or 17 mL fills in a 20 mL syringes).</w:t>
      </w:r>
    </w:p>
    <w:p>
      <w:r>
        <w:t xml:space="preserve">                 Relevant identified uses of the substance or mixture and uses advised against</w:t>
      </w:r>
    </w:p>
    <w:p>
      <w:r>
        <w:t xml:space="preserve">            We recommend that you use this product in a manner consistent with the listed use. If your intended use is not</w:t>
      </w:r>
    </w:p>
    <w:p>
      <w:r>
        <w:t xml:space="preserve">                     consistent with the stated use, please contact your sales or technical service representative.</w:t>
      </w:r>
    </w:p>
    <w:p>
      <w:r>
        <w:t xml:space="preserve">                 Chemical Family: Gadolinium chelate.</w:t>
      </w:r>
    </w:p>
    <w:p>
      <w:r>
        <w:t xml:space="preserve">                  Molecular Formula: C17H29N4O7.Gd</w:t>
      </w:r>
    </w:p>
    <w:p>
      <w:r>
        <w:t xml:space="preserve">              CAS Number: 120066-54-8</w:t>
      </w:r>
    </w:p>
    <w:p>
      <w:r>
        <w:t xml:space="preserve">                  Details of the supplier of the safety data sheet</w:t>
      </w:r>
    </w:p>
    <w:p>
      <w:r>
        <w:t xml:space="preserve">                   Manufacturer/Supplier:</w:t>
      </w:r>
    </w:p>
    <w:p>
      <w:r>
        <w:t xml:space="preserve">                  Bracco Diagnostics Inc.</w:t>
      </w:r>
    </w:p>
    <w:p>
      <w:r>
        <w:t xml:space="preserve">                   P.O. Box 5225</w:t>
      </w:r>
    </w:p>
    <w:p>
      <w:r>
        <w:t xml:space="preserve">                     Princeton, NJ 08543</w:t>
      </w:r>
    </w:p>
    <w:p>
      <w:r>
        <w:t xml:space="preserve">                  Further Information Obtainable from:</w:t>
      </w:r>
    </w:p>
    <w:p>
      <w:r>
        <w:t xml:space="preserve">                 B-Lands Consulting</w:t>
      </w:r>
    </w:p>
    <w:p>
      <w:r>
        <w:t xml:space="preserve">              WTC, 5 Place Robert Schuman, BP 1516</w:t>
      </w:r>
    </w:p>
    <w:p>
      <w:r>
        <w:t xml:space="preserve">                 38025 Grenoble, FRANCE</w:t>
      </w:r>
    </w:p>
    <w:p>
      <w:r>
        <w:t xml:space="preserve">                     Tel: +33 476 295 869</w:t>
      </w:r>
    </w:p>
    <w:p>
      <w:r>
        <w:t xml:space="preserve">                   Fax: +33 476 295 870</w:t>
      </w:r>
    </w:p>
    <w:p>
      <w:r>
        <w:t xml:space="preserve">                   services@reachteam.eu</w:t>
      </w:r>
    </w:p>
    <w:p>
      <w:r>
        <w:t xml:space="preserve">                  www.reachteam.eu</w:t>
      </w:r>
    </w:p>
    <w:p>
      <w:r>
        <w:t xml:space="preserve">                  Information department:</w:t>
      </w:r>
    </w:p>
    <w:p>
      <w:r>
        <w:t xml:space="preserve">                 B-Lands Consulting</w:t>
      </w:r>
    </w:p>
    <w:p>
      <w:r>
        <w:t xml:space="preserve">              WTC, 5 Place Robert Schuman, BP 1516</w:t>
      </w:r>
    </w:p>
    <w:p>
      <w:r>
        <w:t xml:space="preserve">                 38025 Grenoble, FRANCE</w:t>
      </w:r>
    </w:p>
    <w:p>
      <w:r>
        <w:t xml:space="preserve">                     Tel: +33 476 295 869</w:t>
      </w:r>
    </w:p>
    <w:p>
      <w:r>
        <w:t xml:space="preserve">                   Fax: +33 476 295 870</w:t>
      </w:r>
    </w:p>
    <w:p>
      <w:r>
        <w:t xml:space="preserve">                   Email: clients@reachteam.eu</w:t>
      </w:r>
    </w:p>
    <w:p>
      <w:r>
        <w:t xml:space="preserve">                  www.reachteam.eu</w:t>
      </w:r>
    </w:p>
    <w:p>
      <w:r>
        <w:t xml:space="preserve">               Emergency telephone number:</w:t>
      </w:r>
    </w:p>
    <w:p>
      <w:r>
        <w:t xml:space="preserve">            EMERGENCY CONTACT:</w:t>
      </w:r>
    </w:p>
    <w:p>
      <w:r>
        <w:t xml:space="preserve">                    Health: 1-800-257-5181</w:t>
      </w:r>
    </w:p>
    <w:p>
      <w:r>
        <w:t xml:space="preserve">                   U.S. Transport - Chemtrec: 1-800-424-9300</w:t>
      </w:r>
    </w:p>
    <w:p>
      <w:r>
        <w:t xml:space="preserve">                     Intenational Transport - Chemtrec: 1-703-527-3887</w:t>
      </w:r>
    </w:p>
    <w:p>
      <w:r>
        <w:t xml:space="preserve">                Emergency Overview:</w:t>
      </w:r>
    </w:p>
    <w:p>
      <w:r>
        <w:t xml:space="preserve">                    Colorless to slightly yellow aqueous solution containing gadoteridol, a diagnostic agent.</w:t>
      </w:r>
    </w:p>
    <w:p>
      <w:r>
        <w:t xml:space="preserve">                  See Health Effects and Toxicology sections for additional information.</w:t>
      </w:r>
    </w:p>
    <w:p>
      <w:r>
        <w:t xml:space="preserve"/>
      </w:r>
    </w:p>
    <w:p>
      <w:r>
        <w:t xml:space="preserve">            2 Hazard(s) identification</w:t>
      </w:r>
    </w:p>
    <w:p>
      <w:r>
        <w:t xml:space="preserve">                   Classification of the substance or mixture</w:t>
      </w:r>
    </w:p>
    <w:p>
      <w:r>
        <w:t xml:space="preserve">                The product is not classified according to the Globally Harmonized System (GHS).</w:t>
      </w:r>
    </w:p>
    <w:p>
      <w:r>
        <w:t xml:space="preserve">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40.0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Page 2/11</w:t>
      </w:r>
    </w:p>
    <w:p>
      <w:r>
        <w:t xml:space="preserve">                                       Safety Data Sheet</w:t>
      </w:r>
    </w:p>
    <w:p>
      <w:r>
        <w:t xml:space="preserve">                                               acc. to OSHA HCS</w:t>
      </w:r>
    </w:p>
    <w:p>
      <w:r>
        <w:t xml:space="preserve">                 Printing date 08/18/2016                         Version 3                      Reviewed on 08/18/2016</w:t>
      </w:r>
    </w:p>
    <w:p>
      <w:r>
        <w:t xml:space="preserve">             Trade name: ProHance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(Contd. of page 1)</w:t>
      </w:r>
    </w:p>
    <w:p>
      <w:r>
        <w:t xml:space="preserve">                Label elements</w:t>
      </w:r>
    </w:p>
    <w:p>
      <w:r>
        <w:t xml:space="preserve">            GHS label elements Not applicable.</w:t>
      </w:r>
    </w:p>
    <w:p>
      <w:r>
        <w:t xml:space="preserve">                 Hazard pictograms Not applicable.</w:t>
      </w:r>
    </w:p>
    <w:p>
      <w:r>
        <w:t xml:space="preserve">                   Signal word Not applicable.</w:t>
      </w:r>
    </w:p>
    <w:p>
      <w:r>
        <w:t xml:space="preserve">                 Hazard statements Not applicable.</w:t>
      </w:r>
    </w:p>
    <w:p>
      <w:r>
        <w:t xml:space="preserve">                     Effects of Overexposure - Routes of Entry:</w:t>
      </w:r>
    </w:p>
    <w:p>
      <w:r>
        <w:t xml:space="preserve">                    Inhalation: Under normal conditions, exposure to this material by inhalation is not expected to occur.</w:t>
      </w:r>
    </w:p>
    <w:p>
      <w:r>
        <w:t xml:space="preserve">                  Skin Contact:</w:t>
      </w:r>
    </w:p>
    <w:p>
      <w:r>
        <w:t xml:space="preserve">                  Exposure may occur via skin contact if gloves and protective clothing are not worn. The extent of systemic</w:t>
      </w:r>
    </w:p>
    <w:p>
      <w:r>
        <w:t xml:space="preserve">                    absorption of the material after skin contact is</w:t>
      </w:r>
    </w:p>
    <w:p>
      <w:r>
        <w:t xml:space="preserve">                    not known.</w:t>
      </w:r>
    </w:p>
    <w:p>
      <w:r>
        <w:t xml:space="preserve">                    Ingestion:</w:t>
      </w:r>
    </w:p>
    <w:p>
      <w:r>
        <w:t xml:space="preserve">                     Ingestion of large quantities of this material in an occupational setting would not be expected to occur.</w:t>
      </w:r>
    </w:p>
    <w:p>
      <w:r>
        <w:t xml:space="preserve">                     Ingestion of trace amounts of the material might occur if the material contacts hands and hands are not washed</w:t>
      </w:r>
    </w:p>
    <w:p>
      <w:r>
        <w:t xml:space="preserve">                      prior to eating, drinking or smoking. The extent of systemic absorption of gadoteridol after ingestion is not</w:t>
      </w:r>
    </w:p>
    <w:p>
      <w:r>
        <w:t xml:space="preserve">                 known.</w:t>
      </w:r>
    </w:p>
    <w:p>
      <w:r>
        <w:t xml:space="preserve">                    Additional Information:</w:t>
      </w:r>
    </w:p>
    <w:p>
      <w:r>
        <w:t xml:space="preserve">                  Information pertaining to particular dangers for man and environment:</w:t>
      </w:r>
    </w:p>
    <w:p>
      <w:r>
        <w:t xml:space="preserve">                   Negative Effects on the Health: See also Sections 11</w:t>
      </w:r>
    </w:p>
    <w:p>
      <w:r>
        <w:t xml:space="preserve">                   Negative Effects on the Environment: See also Section 12</w:t>
      </w:r>
    </w:p>
    <w:p>
      <w:r>
        <w:t xml:space="preserve">             NFPA ratings (scale 0 - 4)</w:t>
      </w:r>
    </w:p>
    <w:p>
      <w:r>
        <w:t xml:space="preserve">             0      HealthFire = 0= 0</w:t>
      </w:r>
    </w:p>
    <w:p>
      <w:r>
        <w:t xml:space="preserve">           0  0   Reactivity = 0</w:t>
      </w:r>
    </w:p>
    <w:p>
      <w:r>
        <w:t xml:space="preserve"/>
      </w:r>
    </w:p>
    <w:p>
      <w:r>
        <w:t xml:space="preserve">                 HMIS-ratings (scale 0 - 4)</w:t>
      </w:r>
    </w:p>
    <w:p>
      <w:r>
        <w:t xml:space="preserve">                   HEALTH     0  Health = 0</w:t>
      </w:r>
    </w:p>
    <w:p>
      <w:r>
        <w:t xml:space="preserve">                       FIRE        0  Fire = 0</w:t>
      </w:r>
    </w:p>
    <w:p>
      <w:r>
        <w:t xml:space="preserve">                      REACTIVITY 0  Reactivity = 0</w:t>
      </w:r>
    </w:p>
    <w:p>
      <w:r>
        <w:t xml:space="preserve"/>
      </w:r>
    </w:p>
    <w:p>
      <w:r>
        <w:t xml:space="preserve">                    Results of PBT and vPvB assessment</w:t>
      </w:r>
    </w:p>
    <w:p>
      <w:r>
        <w:t xml:space="preserve">               PBT: Not applicable.</w:t>
      </w:r>
    </w:p>
    <w:p>
      <w:r>
        <w:t xml:space="preserve">                 vPvB: Not applicable.</w:t>
      </w:r>
    </w:p>
    <w:p>
      <w:r>
        <w:t xml:space="preserve"/>
      </w:r>
    </w:p>
    <w:p>
      <w:r>
        <w:t xml:space="preserve">            3 Composition/information on ingredients</w:t>
      </w:r>
    </w:p>
    <w:p>
      <w:r>
        <w:t xml:space="preserve">               Chemical characterization: Substances</w:t>
      </w:r>
    </w:p>
    <w:p>
      <w:r>
        <w:t xml:space="preserve">                    Active Ingredient:</w:t>
      </w:r>
    </w:p>
    <w:p>
      <w:r>
        <w:t xml:space="preserve">                  120066-54-8 (±)-[10-(2-hydroxypropyl)-1,4,7,10-tetraazacyclododecane-1,4,7-triacetate (3 -)]       27.9%</w:t>
      </w:r>
    </w:p>
    <w:p>
      <w:r>
        <w:t xml:space="preserve">                              Gadolinium</w:t>
      </w:r>
    </w:p>
    <w:p>
      <w:r>
        <w:t xml:space="preserve">                    Impurities and stabilising additives:</w:t>
      </w:r>
    </w:p>
    <w:p>
      <w:r>
        <w:t xml:space="preserve">               CAS: 121915-83-1   Calcium Calteridol</w:t>
      </w:r>
    </w:p>
    <w:p>
      <w:r>
        <w:t xml:space="preserve">               CAS: 77-86-1        trometamol</w:t>
      </w:r>
    </w:p>
    <w:p>
      <w:r>
        <w:t xml:space="preserve">                EINECS: 201-064-4</w:t>
      </w:r>
    </w:p>
    <w:p>
      <w:r>
        <w:t xml:space="preserve">               RTECS: TY 2900000</w:t>
      </w:r>
    </w:p>
    <w:p>
      <w:r>
        <w:t xml:space="preserve">               Chemical characterization: Mixtures</w:t>
      </w:r>
    </w:p>
    <w:p>
      <w:r>
        <w:t xml:space="preserve">                    Description: Mixture: consisting of the following components.</w:t>
      </w:r>
    </w:p>
    <w:p>
      <w:r>
        <w:t xml:space="preserve">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40.0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Page 3/11</w:t>
      </w:r>
    </w:p>
    <w:p>
      <w:r>
        <w:t xml:space="preserve">                                       Safety Data Sheet</w:t>
      </w:r>
    </w:p>
    <w:p>
      <w:r>
        <w:t xml:space="preserve">                                               acc. to OSHA HCS</w:t>
      </w:r>
    </w:p>
    <w:p>
      <w:r>
        <w:t xml:space="preserve">                 Printing date 08/18/2016                         Version 3                      Reviewed on 08/18/2016</w:t>
      </w:r>
    </w:p>
    <w:p>
      <w:r>
        <w:t xml:space="preserve"/>
      </w:r>
    </w:p>
    <w:p>
      <w:r>
        <w:t xml:space="preserve">             Trade name: ProHance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(Contd. of page 2)</w:t>
      </w:r>
    </w:p>
    <w:p>
      <w:r>
        <w:t xml:space="preserve">                 Hazardous Components: Not applicable.</w:t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>                  Description of first aid measures</w:t>
      </w:r>
    </w:p>
    <w:p>
      <w:r>
        <w:t xml:space="preserve">                  General information: No special measures required.</w:t>
      </w:r>
    </w:p>
    <w:p>
      <w:r>
        <w:t xml:space="preserve">                    After Inhalation:</w:t>
      </w:r>
    </w:p>
    <w:p>
      <w:r>
        <w:t xml:space="preserve">               Remove exposed person to fresh air.</w:t>
      </w:r>
    </w:p>
    <w:p>
      <w:r>
        <w:t xml:space="preserve">                         If person is not breathing, give artificial respiration.</w:t>
      </w:r>
    </w:p>
    <w:p>
      <w:r>
        <w:t xml:space="preserve">                         If breathing is difficult administer oxygen.</w:t>
      </w:r>
    </w:p>
    <w:p>
      <w:r>
        <w:t xml:space="preserve">                  Get medical attention immediately.</w:t>
      </w:r>
    </w:p>
    <w:p>
      <w:r>
        <w:t xml:space="preserve">                    After Skin Contact:</w:t>
      </w:r>
    </w:p>
    <w:p>
      <w:r>
        <w:t xml:space="preserve">               Remove contaminated clothing.</w:t>
      </w:r>
    </w:p>
    <w:p>
      <w:r>
        <w:t xml:space="preserve">               Wash skin with plenty of water for 5 minutes.</w:t>
      </w:r>
    </w:p>
    <w:p>
      <w:r>
        <w:t xml:space="preserve">                 Seek medical attention if irritation (redness, itching or swelling) develops or persists.</w:t>
      </w:r>
    </w:p>
    <w:p>
      <w:r>
        <w:t xml:space="preserve">                    After Eye Contact:</w:t>
      </w:r>
    </w:p>
    <w:p>
      <w:r>
        <w:t xml:space="preserve">                 Hold eyelids apart and flush with plenty of water for 5 minutes.</w:t>
      </w:r>
    </w:p>
    <w:p>
      <w:r>
        <w:t xml:space="preserve">                  Get medical attention if signs of irritation develop.</w:t>
      </w:r>
    </w:p>
    <w:p>
      <w:r>
        <w:t xml:space="preserve">                    After Swallowing:</w:t>
      </w:r>
    </w:p>
    <w:p>
      <w:r>
        <w:t xml:space="preserve">                  Get medical attention immediately.</w:t>
      </w:r>
    </w:p>
    <w:p>
      <w:r>
        <w:t xml:space="preserve">                  Vomiting may be induced only if a person is conscious and if ingestion has occurred within the past three</w:t>
      </w:r>
    </w:p>
    <w:p>
      <w:r>
        <w:t xml:space="preserve">                     hours.</w:t>
      </w:r>
    </w:p>
    <w:p>
      <w:r>
        <w:t xml:space="preserve">                 Never induce vomiting in a person who is unconscious or experiencing convulsions.</w:t>
      </w:r>
    </w:p>
    <w:p>
      <w:r>
        <w:t xml:space="preserve">               Most important symptoms and effects, both acute and delayed See also Section 2 and 11.</w:t>
      </w:r>
    </w:p>
    <w:p>
      <w:r>
        <w:t xml:space="preserve">                  Indication of any immediate medical attention and special treatment needed</w:t>
      </w:r>
    </w:p>
    <w:p>
      <w:r>
        <w:t xml:space="preserve">              No further relevant information available.</w:t>
      </w:r>
    </w:p>
    <w:p>
      <w:r>
        <w:t xml:space="preserve">               Means of Specific and Immediate Treatment to Keep at the Workplace: No special measures required.</w:t>
      </w:r>
    </w:p>
    <w:p>
      <w:r>
        <w:t xml:space="preserve">                 Note to physicians: None.</w:t>
      </w:r>
    </w:p>
    <w:p>
      <w:r>
        <w:t xml:space="preserve"/>
      </w:r>
    </w:p>
    <w:p>
      <w:r>
        <w:t xml:space="preserve">            5 Fire-fighting measures</w:t>
      </w:r>
    </w:p>
    <w:p>
      <w:r>
        <w:t xml:space="preserve">                 Extinguishing media</w:t>
      </w:r>
    </w:p>
    <w:p>
      <w:r>
        <w:t xml:space="preserve">                    Suitable extinguishing agents: In case of fire, flood with Water</w:t>
      </w:r>
    </w:p>
    <w:p>
      <w:r>
        <w:t xml:space="preserve">                For safety reasons unsuitable extinguishing agents: Unknown.</w:t>
      </w:r>
    </w:p>
    <w:p>
      <w:r>
        <w:t xml:space="preserve">                  Special hazards arising from the substance or mixture See also Section 10.</w:t>
      </w:r>
    </w:p>
    <w:p>
      <w:r>
        <w:t xml:space="preserve">                 Hazardous Combustion Products:</w:t>
      </w:r>
    </w:p>
    <w:p>
      <w:r>
        <w:t xml:space="preserve">                 Carbon Dioxide (CO2)</w:t>
      </w:r>
    </w:p>
    <w:p>
      <w:r>
        <w:t xml:space="preserve">                    In the absence of Oxygen: Carbon Monoxide (CO)</w:t>
      </w:r>
    </w:p>
    <w:p>
      <w:r>
        <w:t xml:space="preserve">                   Nitrogen Oxides (NxOy)</w:t>
      </w:r>
    </w:p>
    <w:p>
      <w:r>
        <w:t xml:space="preserve">                  Gadolinium Oxide (Gd2O3)</w:t>
      </w:r>
    </w:p>
    <w:p>
      <w:r>
        <w:t xml:space="preserve">                    Additional Information: Not Available</w:t>
      </w:r>
    </w:p>
    <w:p>
      <w:r>
        <w:t xml:space="preserve">                 Advice for Firefighters</w:t>
      </w:r>
    </w:p>
    <w:p>
      <w:r>
        <w:t xml:space="preserve">                   Evacuate personnel to an upwind direction, remove unneeded material and cool container(s) with water from a</w:t>
      </w:r>
    </w:p>
    <w:p>
      <w:r>
        <w:t xml:space="preserve">               maximum distance.</w:t>
      </w:r>
    </w:p>
    <w:p>
      <w:r>
        <w:t xml:space="preserve">               Move container from fire area if you can do it without risk.</w:t>
      </w:r>
    </w:p>
    <w:p>
      <w:r>
        <w:t xml:space="preserve">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40.0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Page 4/11</w:t>
      </w:r>
    </w:p>
    <w:p>
      <w:r>
        <w:t xml:space="preserve">                                       Safety Data Sheet</w:t>
      </w:r>
    </w:p>
    <w:p>
      <w:r>
        <w:t xml:space="preserve">                                               acc. to OSHA HCS</w:t>
      </w:r>
    </w:p>
    <w:p>
      <w:r>
        <w:t xml:space="preserve">                 Printing date 08/18/2016                          Version 3                      Reviewed on 08/18/2016</w:t>
      </w:r>
    </w:p>
    <w:p>
      <w:r>
        <w:t xml:space="preserve"/>
      </w:r>
    </w:p>
    <w:p>
      <w:r>
        <w:t xml:space="preserve">             Trade name: ProHance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(Contd. of page 3)</w:t>
      </w:r>
    </w:p>
    <w:p>
      <w:r>
        <w:t xml:space="preserve">                     Protective Equipment:</w:t>
      </w:r>
    </w:p>
    <w:p>
      <w:r>
        <w:t xml:space="preserve">                      Firefighters should wear adequate personal protective equipment with protection of respiratory tract</w:t>
      </w:r>
    </w:p>
    <w:p>
      <w:r>
        <w:t xml:space="preserve">                     (selfcontained breathing apparatus) (SCBA).</w:t>
      </w:r>
    </w:p>
    <w:p>
      <w:r>
        <w:t xml:space="preserve">                Wear flame and chemicals resistant clothing, boots and gloves (see Section 8).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>                 Personal precautions, protective equipment and emergency procedures</w:t>
      </w:r>
    </w:p>
    <w:p>
      <w:r>
        <w:t xml:space="preserve">                 ²Wear protective equipment appropriate to the circumstances (see Section 8)</w:t>
      </w:r>
    </w:p>
    <w:p>
      <w:r>
        <w:t xml:space="preserve">                Environmental precautions: No special measures required.</w:t>
      </w:r>
    </w:p>
    <w:p>
      <w:r>
        <w:t xml:space="preserve">               Methods and material for containment and cleaning up:</w:t>
      </w:r>
    </w:p>
    <w:p>
      <w:r>
        <w:t xml:space="preserve">                 Absorb with liquid-binding material (sand, diatomite, vermiculite) or other non combustible absorbent</w:t>
      </w:r>
    </w:p>
    <w:p>
      <w:r>
        <w:t xml:space="preserve">                      material.</w:t>
      </w:r>
    </w:p>
    <w:p>
      <w:r>
        <w:t xml:space="preserve">                   Place spilt material in an appropriate container for disposal.</w:t>
      </w:r>
    </w:p>
    <w:p>
      <w:r>
        <w:t xml:space="preserve">                The spill area should be ventilated and decontaminated after material is collected.</w:t>
      </w:r>
    </w:p>
    <w:p>
      <w:r>
        <w:t xml:space="preserve">                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See Section 12 for Ecological Information.</w:t>
      </w:r>
    </w:p>
    <w:p>
      <w:r>
        <w:t xml:space="preserve"/>
      </w:r>
    </w:p>
    <w:p>
      <w:r>
        <w:t xml:space="preserve">          *    7 Handling and storage</w:t>
      </w:r>
    </w:p>
    <w:p>
      <w:r>
        <w:t xml:space="preserve">                 Precautions for Safe Handling</w:t>
      </w:r>
    </w:p>
    <w:p>
      <w:r>
        <w:t xml:space="preserve">              Do not break vials.</w:t>
      </w:r>
    </w:p>
    <w:p>
      <w:r>
        <w:t xml:space="preserve">                 Avoid splashing of liquid product.</w:t>
      </w:r>
    </w:p>
    <w:p>
      <w:r>
        <w:t xml:space="preserve">                 Avoid skin and eye contact.</w:t>
      </w:r>
    </w:p>
    <w:p>
      <w:r>
        <w:t xml:space="preserve">                 Conditions for Safe Storage, including any Incompatibilities</w:t>
      </w:r>
    </w:p>
    <w:p>
      <w:r>
        <w:t xml:space="preserve">                  Requirements to be met by Storerooms and Receptacles:</w:t>
      </w:r>
    </w:p>
    <w:p>
      <w:r>
        <w:t xml:space="preserve">                    Store in a cool, dry place in tightly closed receptacles.</w:t>
      </w:r>
    </w:p>
    <w:p>
      <w:r>
        <w:t xml:space="preserve">                  Container Requirements: Single dose 15, 30 and 50 mL vials and 20 mL prefilled syringes.</w:t>
      </w:r>
    </w:p>
    <w:p>
      <w:r>
        <w:t xml:space="preserve">                   Storage Conditions: Store at 25 °C, excursions permitted to 15-30° C. Protect from light and do not freeze.</w:t>
      </w:r>
    </w:p>
    <w:p>
      <w:r>
        <w:t xml:space="preserve">                  Information about Storage in one Common Storage Facility: Not required.</w:t>
      </w:r>
    </w:p>
    <w:p>
      <w:r>
        <w:t xml:space="preserve">                  Further information about storage conditions: None.</w:t>
      </w:r>
    </w:p>
    <w:p>
      <w:r>
        <w:t xml:space="preserve">                   Specific end use(s) No further relevant information available.</w:t>
      </w:r>
    </w:p>
    <w:p>
      <w:r>
        <w:t xml:space="preserve"/>
      </w:r>
    </w:p>
    <w:p>
      <w:r>
        <w:t xml:space="preserve">            8 Exposure controls/personal protection</w:t>
      </w:r>
    </w:p>
    <w:p>
      <w:r>
        <w:t xml:space="preserve">                    Additional information about design of technical systems: No further data; see item 7.</w:t>
      </w:r>
    </w:p>
    <w:p>
      <w:r>
        <w:t xml:space="preserve">                 Control parameters</w:t>
      </w:r>
    </w:p>
    <w:p>
      <w:r>
        <w:t xml:space="preserve">                Components with limit values that require monitoring at the workplace:</w:t>
      </w:r>
    </w:p>
    <w:p>
      <w:r>
        <w:t xml:space="preserve">                The product does not contain any relevant quantities of materials with critical values that have to be monitored</w:t>
      </w:r>
    </w:p>
    <w:p>
      <w:r>
        <w:t xml:space="preserve">                       at the workplace.</w:t>
      </w:r>
    </w:p>
    <w:p>
      <w:r>
        <w:t xml:space="preserve">                    Additional information: The lists that were valid during the creation were used as basis.</w:t>
      </w:r>
    </w:p>
    <w:p>
      <w:r>
        <w:t xml:space="preserve">                Exposure controls</w:t>
      </w:r>
    </w:p>
    <w:p>
      <w:r>
        <w:t xml:space="preserve">                   Appropriate Technical Controls: Provide adequate aspiration / ventilation in the workplace</w:t>
      </w:r>
    </w:p>
    <w:p>
      <w:r>
        <w:t xml:space="preserve">                    Additional information about Design of Technical Facilities: No further data (see Section 7).</w:t>
      </w:r>
    </w:p>
    <w:p>
      <w:r>
        <w:t xml:space="preserve">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40.0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Page 5/11</w:t>
      </w:r>
    </w:p>
    <w:p>
      <w:r>
        <w:t xml:space="preserve">                                       Safety Data Sheet</w:t>
      </w:r>
    </w:p>
    <w:p>
      <w:r>
        <w:t xml:space="preserve">                                               acc. to OSHA HCS</w:t>
      </w:r>
    </w:p>
    <w:p>
      <w:r>
        <w:t xml:space="preserve">                 Printing date 08/18/2016                         Version 3                      Reviewed on 08/18/2016</w:t>
      </w:r>
    </w:p>
    <w:p>
      <w:r>
        <w:t xml:space="preserve"/>
      </w:r>
    </w:p>
    <w:p>
      <w:r>
        <w:t xml:space="preserve">             Trade name: ProHance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(Contd. of page 4)</w:t>
      </w:r>
    </w:p>
    <w:p>
      <w:r>
        <w:t xml:space="preserve">                  Personal protective equipment</w:t>
      </w:r>
    </w:p>
    <w:p>
      <w:r>
        <w:t xml:space="preserve">                  General Protective and Hygienic Measures:</w:t>
      </w:r>
    </w:p>
    <w:p>
      <w:r>
        <w:t xml:space="preserve">                The usual precautionary measures for handling chemicals should be followed.</w:t>
      </w:r>
    </w:p>
    <w:p>
      <w:r>
        <w:t xml:space="preserve">               Wash hands before breaks and at the end of work.</w:t>
      </w:r>
    </w:p>
    <w:p>
      <w:r>
        <w:t xml:space="preserve">                Wear protective equipment (PPE) appropriate to the circumstances.</w:t>
      </w:r>
    </w:p>
    <w:p>
      <w:r>
        <w:t xml:space="preserve"/>
      </w:r>
    </w:p>
    <w:p>
      <w:r>
        <w:t xml:space="preserve">                     Do not eat, drink, smoke while working.</w:t>
      </w:r>
    </w:p>
    <w:p>
      <w:r>
        <w:t xml:space="preserve"/>
      </w:r>
    </w:p>
    <w:p>
      <w:r>
        <w:t xml:space="preserve">                   Provide appropriate ventilation.</w:t>
      </w:r>
    </w:p>
    <w:p>
      <w:r>
        <w:t xml:space="preserve">                  Breathing Equipment:</w:t>
      </w:r>
    </w:p>
    <w:p>
      <w:r>
        <w:t xml:space="preserve">                 Not anticipated for normal clinical environment.</w:t>
      </w:r>
    </w:p>
    <w:p>
      <w:r>
        <w:t xml:space="preserve">                    In non-routine exposure conditions, where risk assessment shows air-purifying respirators are appropriate, use</w:t>
      </w:r>
    </w:p>
    <w:p>
      <w:r>
        <w:t xml:space="preserve">                      respirators and components tested and approved under appropriate government standards such as NIOSH (US)</w:t>
      </w:r>
    </w:p>
    <w:p>
      <w:r>
        <w:t xml:space="preserve">                    or CEN (EU).</w:t>
      </w:r>
    </w:p>
    <w:p>
      <w:r>
        <w:t xml:space="preserve">                    Self-contained breathing apparatus should be available for emergency use.</w:t>
      </w:r>
    </w:p>
    <w:p>
      <w:r>
        <w:t xml:space="preserve">                    Protection of Hands:</w:t>
      </w:r>
    </w:p>
    <w:p>
      <w:r>
        <w:t xml:space="preserve"/>
      </w:r>
    </w:p>
    <w:p>
      <w:r>
        <w:t xml:space="preserve">                        Wear impervious gloves if the potential exists for dermal contact.</w:t>
      </w:r>
    </w:p>
    <w:p>
      <w:r>
        <w:t xml:space="preserve"/>
      </w:r>
    </w:p>
    <w:p>
      <w:r>
        <w:t xml:space="preserve">                   Material of Gloves:</w:t>
      </w:r>
    </w:p>
    <w:p>
      <w:r>
        <w:t xml:space="preserve">                    Latex, Latex / Nitrile or Nitrile Gloves.</w:t>
      </w:r>
    </w:p>
    <w:p>
      <w:r>
        <w:t xml:space="preserve">                The selection of the suitable gloves does not only depend on the material, but also on further marks of quality</w:t>
      </w:r>
    </w:p>
    <w:p>
      <w:r>
        <w:t xml:space="preserve">                  and varies from manufacturer to manufacturer.</w:t>
      </w:r>
    </w:p>
    <w:p>
      <w:r>
        <w:t xml:space="preserve">                     Selection of the glove material on consideration of the penetration times, rates of diffusion and the</w:t>
      </w:r>
    </w:p>
    <w:p>
      <w:r>
        <w:t xml:space="preserve">                    degradation.</w:t>
      </w:r>
    </w:p>
    <w:p>
      <w:r>
        <w:t xml:space="preserve">                The glove material has to be impermeable and resistant to the product/ the substance/ the mixture.</w:t>
      </w:r>
    </w:p>
    <w:p>
      <w:r>
        <w:t xml:space="preserve">                   Penetration Time of Glove Material: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Eye Protection:</w:t>
      </w:r>
    </w:p>
    <w:p>
      <w:r>
        <w:t xml:space="preserve"/>
      </w:r>
    </w:p>
    <w:p>
      <w:r>
        <w:t xml:space="preserve">                        Wear safety glasses (ANSI Z87.1)</w:t>
      </w:r>
    </w:p>
    <w:p>
      <w:r>
        <w:t xml:space="preserve"/>
      </w:r>
    </w:p>
    <w:p>
      <w:r>
        <w:t xml:space="preserve">                Body Protection:</w:t>
      </w:r>
    </w:p>
    <w:p>
      <w:r>
        <w:t xml:space="preserve">                         If the risk assessment deems it necessary, wear protective coveralls to prevent contact with the body, due to the</w:t>
      </w:r>
    </w:p>
    <w:p>
      <w:r>
        <w:t xml:space="preserve">                    splashing and spraying of liquid.</w:t>
      </w:r>
    </w:p>
    <w:p>
      <w:r>
        <w:t xml:space="preserve">                   Limitation and Supervision of Exposure into the Environment: See also Section 7.</w:t>
      </w:r>
    </w:p>
    <w:p>
      <w:r>
        <w:t xml:space="preserve">                    Additional Information about Design of Technical Systems: No further data; see Section 7.</w:t>
      </w:r>
    </w:p>
    <w:p>
      <w:r>
        <w:t xml:space="preserve"/>
      </w:r>
    </w:p>
    <w:p>
      <w:r>
        <w:t xml:space="preserve">            9 Physical and chemical properties</w:t>
      </w:r>
    </w:p>
    <w:p>
      <w:r>
        <w:t xml:space="preserve">                 Information on basic physical and chemical properties</w:t>
      </w:r>
    </w:p>
    <w:p>
      <w:r>
        <w:t xml:space="preserve">                  General Information</w:t>
      </w:r>
    </w:p>
    <w:p>
      <w:r>
        <w:t xml:space="preserve">                  Appearance:</w:t>
      </w:r>
    </w:p>
    <w:p>
      <w:r>
        <w:t xml:space="preserve">                 Form:                             Liquid</w:t>
      </w:r>
    </w:p>
    <w:p>
      <w:r>
        <w:t xml:space="preserve">                     Color:                               Colorless - Slightly Yellow</w:t>
      </w:r>
    </w:p>
    <w:p>
      <w:r>
        <w:t xml:space="preserve">                 Odor:                                 Undistinguishable</w:t>
      </w:r>
    </w:p>
    <w:p>
      <w:r>
        <w:t xml:space="preserve">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40.0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Page 6/11</w:t>
      </w:r>
    </w:p>
    <w:p>
      <w:r>
        <w:t xml:space="preserve">                                       Safety Data Sheet</w:t>
      </w:r>
    </w:p>
    <w:p>
      <w:r>
        <w:t xml:space="preserve">                                               acc. to OSHA HCS</w:t>
      </w:r>
    </w:p>
    <w:p>
      <w:r>
        <w:t xml:space="preserve">                 Printing date 08/18/2016                         Version 3                      Reviewed on 08/18/2016</w:t>
      </w:r>
    </w:p>
    <w:p>
      <w:r>
        <w:t xml:space="preserve"/>
      </w:r>
    </w:p>
    <w:p>
      <w:r>
        <w:t xml:space="preserve">             Trade name: ProHance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(Contd. of page 5)</w:t>
      </w:r>
    </w:p>
    <w:p>
      <w:r>
        <w:t xml:space="preserve">                Odour threshold:                  Not determined.</w:t>
      </w:r>
    </w:p>
    <w:p>
      <w:r>
        <w:t xml:space="preserve">                  pH-value:                             6.5 - 8.0</w:t>
      </w:r>
    </w:p>
    <w:p>
      <w:r>
        <w:t xml:space="preserve">                  Melting point/Melting range:           ca. 100 °C</w:t>
      </w:r>
    </w:p>
    <w:p>
      <w:r>
        <w:t xml:space="preserve">                   Boiling point/Boiling range:            ca. 0 °C</w:t>
      </w:r>
    </w:p>
    <w:p>
      <w:r>
        <w:t xml:space="preserve">                  Flash point:                      Not applicable.</w:t>
      </w:r>
    </w:p>
    <w:p>
      <w:r>
        <w:t xml:space="preserve">                  Flammability (solid, gaseous):       Not applicable.</w:t>
      </w:r>
    </w:p>
    <w:p>
      <w:r>
        <w:t xml:space="preserve">                    Ignition temperature:</w:t>
      </w:r>
    </w:p>
    <w:p>
      <w:r>
        <w:t xml:space="preserve">                   Decomposition temperature:       Not determined.</w:t>
      </w:r>
    </w:p>
    <w:p>
      <w:r>
        <w:t xml:space="preserve">                 Auto igniting:                       Product is not selfigniting.</w:t>
      </w:r>
    </w:p>
    <w:p>
      <w:r>
        <w:t xml:space="preserve">                Danger of explosion:                 Product does not present an explosion hazard.</w:t>
      </w:r>
    </w:p>
    <w:p>
      <w:r>
        <w:t xml:space="preserve">                  Flammability Limits:</w:t>
      </w:r>
    </w:p>
    <w:p>
      <w:r>
        <w:t xml:space="preserve">                   Lower:                         Not Determined.</w:t>
      </w:r>
    </w:p>
    <w:p>
      <w:r>
        <w:t xml:space="preserve">                   Upper:                         Not Determined.</w:t>
      </w:r>
    </w:p>
    <w:p>
      <w:r>
        <w:t xml:space="preserve">                    Density:                             (25 °C) 1.140 g/cm3</w:t>
      </w:r>
    </w:p>
    <w:p>
      <w:r>
        <w:t xml:space="preserve">                 Bulk density:                        (25 °C) 1.140 g/cm3</w:t>
      </w:r>
    </w:p>
    <w:p>
      <w:r>
        <w:t xml:space="preserve">                    Relative density                    Not determined.</w:t>
      </w:r>
    </w:p>
    <w:p>
      <w:r>
        <w:t xml:space="preserve">                Vapour density                    Not determined.</w:t>
      </w:r>
    </w:p>
    <w:p>
      <w:r>
        <w:t xml:space="preserve">                      Solubility in / Miscibility with</w:t>
      </w:r>
    </w:p>
    <w:p>
      <w:r>
        <w:t xml:space="preserve">                    Water:                         Not miscible or difficult to mix.</w:t>
      </w:r>
    </w:p>
    <w:p>
      <w:r>
        <w:t xml:space="preserve">                     Partition coefficient (n-octanol/water): pH=7, logKow: -3.57 to -3.58</w:t>
      </w:r>
    </w:p>
    <w:p>
      <w:r>
        <w:t xml:space="preserve">                                                 pH=9, logKow: -3.66 to -3.70</w:t>
      </w:r>
    </w:p>
    <w:p>
      <w:r>
        <w:t xml:space="preserve">                     Viscosity:</w:t>
      </w:r>
    </w:p>
    <w:p>
      <w:r>
        <w:t xml:space="preserve">                  Dynamic:                   T = 20 °C, η = 2.0 cP</w:t>
      </w:r>
    </w:p>
    <w:p>
      <w:r>
        <w:t xml:space="preserve">                                         T = 37 °C, η = 1.3 cP</w:t>
      </w:r>
    </w:p>
    <w:p>
      <w:r>
        <w:t xml:space="preserve">                    Kinematic:                      Not determined.</w:t>
      </w:r>
    </w:p>
    <w:p>
      <w:r>
        <w:t xml:space="preserve">                    Water:                             71.9 %</w:t>
      </w:r>
    </w:p>
    <w:p>
      <w:r>
        <w:t xml:space="preserve">                Other information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>                   Reactivity: There are not particular dangerous reactions with other substances in normal conditions of use.</w:t>
      </w:r>
    </w:p>
    <w:p>
      <w:r>
        <w:t xml:space="preserve">               Chemical stability: Stable under normal conditions.</w:t>
      </w:r>
    </w:p>
    <w:p>
      <w:r>
        <w:t xml:space="preserve">                    Possibility of hazardous reactions: No dangerous reactions known.</w:t>
      </w:r>
    </w:p>
    <w:p>
      <w:r>
        <w:t xml:space="preserve">                 Conditions to avoid: No further relevant information available.</w:t>
      </w:r>
    </w:p>
    <w:p>
      <w:r>
        <w:t xml:space="preserve">                 Incompatible materials: No further relevant information available.</w:t>
      </w:r>
    </w:p>
    <w:p>
      <w:r>
        <w:t xml:space="preserve">               Hazardous decomposition products: No further relevant information available ( See Section 5)</w:t>
      </w:r>
    </w:p>
    <w:p>
      <w:r>
        <w:t xml:space="preserve">                                                                                                                                  USA</w:t>
      </w:r>
    </w:p>
    <w:p>
      <w:r>
        <w:t xml:space="preserve">                                                                                                                                      (Contd. on page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40.0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Page 7/11</w:t>
      </w:r>
    </w:p>
    <w:p>
      <w:r>
        <w:t xml:space="preserve">                                       Safety Data Sheet</w:t>
      </w:r>
    </w:p>
    <w:p>
      <w:r>
        <w:t xml:space="preserve">                                               acc. to OSHA HCS</w:t>
      </w:r>
    </w:p>
    <w:p>
      <w:r>
        <w:t xml:space="preserve">                 Printing date 08/18/2016                          Version 3                      Reviewed on 08/18/2016</w:t>
      </w:r>
    </w:p>
    <w:p>
      <w:r>
        <w:t xml:space="preserve"/>
      </w:r>
    </w:p>
    <w:p>
      <w:r>
        <w:t xml:space="preserve">             Trade name: ProHance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>                 Information on toxicological effects</w:t>
      </w:r>
    </w:p>
    <w:p>
      <w:r>
        <w:t xml:space="preserve">                  Acute toxicity:</w:t>
      </w:r>
    </w:p>
    <w:p>
      <w:r>
        <w:t xml:space="preserve">                    Toxicological Information for Active Ingredients:</w:t>
      </w:r>
    </w:p>
    <w:p>
      <w:r>
        <w:t xml:space="preserve">               LD/LC50 values that are relevant for classification:</w:t>
      </w:r>
    </w:p>
    <w:p>
      <w:r>
        <w:t xml:space="preserve">                  120066-54-8 (±)-[10-(2-hydroxypropyl)-1,4,7,10-tetraazacyclododecane-1,4,7-triacetate (3 -)]</w:t>
      </w:r>
    </w:p>
    <w:p>
      <w:r>
        <w:t xml:space="preserve">                           Gadolinium</w:t>
      </w:r>
    </w:p>
    <w:p>
      <w:r>
        <w:t xml:space="preserve">                   LD50 ivn 7598 mg/kg (Female Mouse)</w:t>
      </w:r>
    </w:p>
    <w:p>
      <w:r>
        <w:t xml:space="preserve">                              5978 mg/kg (Male Mouse)</w:t>
      </w:r>
    </w:p>
    <w:p>
      <w:r>
        <w:t xml:space="preserve">                              5880 mg/kg (rat)</w:t>
      </w:r>
    </w:p>
    <w:p>
      <w:r>
        <w:t xml:space="preserve">                   77-86-1 trometamol</w:t>
      </w:r>
    </w:p>
    <w:p>
      <w:r>
        <w:t xml:space="preserve">                   Oral LD50    5900 mg/kg (rat)</w:t>
      </w:r>
    </w:p>
    <w:p>
      <w:r>
        <w:t xml:space="preserve">                  121915-83-1 Calcium Calteridol</w:t>
      </w:r>
    </w:p>
    <w:p>
      <w:r>
        <w:t xml:space="preserve">                   LD50 ivn 1200 mg/kg (Mouse)</w:t>
      </w:r>
    </w:p>
    <w:p>
      <w:r>
        <w:t xml:space="preserve"/>
      </w:r>
    </w:p>
    <w:p>
      <w:r>
        <w:t xml:space="preserve">                 Primary irritant effect:</w:t>
      </w:r>
    </w:p>
    <w:p>
      <w:r>
        <w:t xml:space="preserve">               By Inhalation: Inhaling small doses of aerosolized material would not be expected to result in symptoms.</w:t>
      </w:r>
    </w:p>
    <w:p>
      <w:r>
        <w:t xml:space="preserve">               By Ingestion:</w:t>
      </w:r>
    </w:p>
    <w:p>
      <w:r>
        <w:t xml:space="preserve">                     Inadvertent ingestion of trace amounts of this material would not be expected to result in symptoms.</w:t>
      </w:r>
    </w:p>
    <w:p>
      <w:r>
        <w:t xml:space="preserve">                on the skin:</w:t>
      </w:r>
    </w:p>
    <w:p>
      <w:r>
        <w:t xml:space="preserve">                    Material contains low concentration of components that are mild irritants or possible irritants.</w:t>
      </w:r>
    </w:p>
    <w:p>
      <w:r>
        <w:t xml:space="preserve">                            It may have potential to cause mild irritation, however , moderate or severe irritation is not expected.</w:t>
      </w:r>
    </w:p>
    <w:p>
      <w:r>
        <w:t xml:space="preserve">                on the eyes: No irritation effects reported. However, the product should be considered as a potential irritant.</w:t>
      </w:r>
    </w:p>
    <w:p>
      <w:r>
        <w:t xml:space="preserve">           CMR effects (carcinogenity, mutagenicity and toxicity for reproduction):</w:t>
      </w:r>
    </w:p>
    <w:p>
      <w:r>
        <w:t xml:space="preserve">                     Sensitization: The product can cause inflammation in people allergic to gadolinium and its compounds.</w:t>
      </w:r>
    </w:p>
    <w:p>
      <w:r>
        <w:t xml:space="preserve">               Germ Cell Mutagenicity:</w:t>
      </w:r>
    </w:p>
    <w:p>
      <w:r>
        <w:t xml:space="preserve">             GADOTERIDOL has not demonstrated a genotoxic activity in reverse mutation test up performed using</w:t>
      </w:r>
    </w:p>
    <w:p>
      <w:r>
        <w:t xml:space="preserve">                   Salmonella bacteria T. and E. C., in a mutation assay on mouse lymphoma, in an in vitro cytogenetic assay</w:t>
      </w:r>
    </w:p>
    <w:p>
      <w:r>
        <w:t xml:space="preserve">                  measuring chromosomal aberrations in ovarian cells hamster, nor in the in vivo micronucleus assay on mice at</w:t>
      </w:r>
    </w:p>
    <w:p>
      <w:r>
        <w:t xml:space="preserve">                   doses of 5 mmol / kg.</w:t>
      </w:r>
    </w:p>
    <w:p>
      <w:r>
        <w:t xml:space="preserve">                    Carcinogenicity: The GADOTERIDOL is not tested for carcinogenic properties.</w:t>
      </w:r>
    </w:p>
    <w:p>
      <w:r>
        <w:t xml:space="preserve">                   Reproductive Toxicity:</w:t>
      </w:r>
    </w:p>
    <w:p>
      <w:r>
        <w:t xml:space="preserve">                The GADOTERIDOL didn't show teratogenic activity in rats when administered for 12-day gestation period at</w:t>
      </w:r>
    </w:p>
    <w:p>
      <w:r>
        <w:t xml:space="preserve">                   doses 20 times higher than recommended for Human. An increase in spontaneous motor activity was observed</w:t>
      </w:r>
    </w:p>
    <w:p>
      <w:r>
        <w:t xml:space="preserve">                      in infants. At high doses, the product has caused maternal toxicity and there was an increase of</w:t>
      </w:r>
    </w:p>
    <w:p>
      <w:r>
        <w:t xml:space="preserve">                    postimplantation loss.</w:t>
      </w:r>
    </w:p>
    <w:p>
      <w:r>
        <w:t xml:space="preserve">                    In rabbits, There was no evidence of teratogenic activity in rabbits at doses tested up to 1.5 mmol/kg or 840</w:t>
      </w:r>
    </w:p>
    <w:p>
      <w:r>
        <w:t xml:space="preserve">                 mg/kg</w:t>
      </w:r>
    </w:p>
    <w:p>
      <w:r>
        <w:t xml:space="preserve">                    In rabbits, doses 20 times higher than the maximum doses recommended for humans, and administered</w:t>
      </w:r>
    </w:p>
    <w:p>
      <w:r>
        <w:t xml:space="preserve">                    intravenously for 13 days during gestation, have increased the incidence of miscarriages and premature births,</w:t>
      </w:r>
    </w:p>
    <w:p>
      <w:r>
        <w:t xml:space="preserve">                     while, there was no evidence of reproductive effects in rats at doses up to 1.5 mmol/kg or 840 mg/kg.</w:t>
      </w:r>
    </w:p>
    <w:p>
      <w:r>
        <w:t xml:space="preserve">                     Specific Target Organ Toxicity</w:t>
      </w:r>
    </w:p>
    <w:p>
      <w:r>
        <w:t xml:space="preserve">                    Single Exposure (STOT - SE): No further relevant information available</w:t>
      </w:r>
    </w:p>
    <w:p>
      <w:r>
        <w:t xml:space="preserve">                  Repeated Exposure (STOT - RE): No further relevant information available</w:t>
      </w:r>
    </w:p>
    <w:p>
      <w:r>
        <w:t xml:space="preserve">                    Aspiration Hazard: No further relevant information available</w:t>
      </w:r>
    </w:p>
    <w:p>
      <w:r>
        <w:t xml:space="preserve">                  Subacute to Chronic Toxicity:</w:t>
      </w:r>
    </w:p>
    <w:p>
      <w:r>
        <w:t xml:space="preserve">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40.0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  Page 8/11</w:t>
      </w:r>
    </w:p>
    <w:p>
      <w:r>
        <w:t xml:space="preserve">                                       Safety Data Sheet</w:t>
      </w:r>
    </w:p>
    <w:p>
      <w:r>
        <w:t xml:space="preserve">                                               acc. to OSHA HCS</w:t>
      </w:r>
    </w:p>
    <w:p>
      <w:r>
        <w:t xml:space="preserve">                 Printing date 08/18/2016                         Version 3                      Reviewed on 08/18/2016</w:t>
      </w:r>
    </w:p>
    <w:p>
      <w:r>
        <w:t xml:space="preserve"/>
      </w:r>
    </w:p>
    <w:p>
      <w:r>
        <w:t xml:space="preserve">             Trade name: ProHance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(Contd. of page 7)</w:t>
      </w:r>
    </w:p>
    <w:p>
      <w:r>
        <w:t xml:space="preserve">               Human data are not available. In studies with rats and dogs performed over a period of one month to doses</w:t>
      </w:r>
    </w:p>
    <w:p>
      <w:r>
        <w:t xml:space="preserve">                   approximately 3 times higher than therapeutic effects were evident in kidney (eg, vacuolation of renal tubular</w:t>
      </w:r>
    </w:p>
    <w:p>
      <w:r>
        <w:t xml:space="preserve">                     epithelium).</w:t>
      </w:r>
    </w:p>
    <w:p>
      <w:r>
        <w:t xml:space="preserve">                  These effects are reversible. The product does not is mutagenic. Other health effects have not been fully</w:t>
      </w:r>
    </w:p>
    <w:p>
      <w:r>
        <w:t xml:space="preserve">                     evaluated.</w:t>
      </w:r>
    </w:p>
    <w:p>
      <w:r>
        <w:t xml:space="preserve">                  Carcinogenic categories</w:t>
      </w:r>
    </w:p>
    <w:p>
      <w:r>
        <w:t xml:space="preserve">              IARC (International Agency for Research on Cancer)</w:t>
      </w:r>
    </w:p>
    <w:p>
      <w:r>
        <w:t xml:space="preserve">                None of the ingredients is listed.</w:t>
      </w:r>
    </w:p>
    <w:p>
      <w:r>
        <w:t xml:space="preserve">             NTP (National Toxicology Program)</w:t>
      </w:r>
    </w:p>
    <w:p>
      <w:r>
        <w:t xml:space="preserve">                None of the ingredients is listed.</w:t>
      </w:r>
    </w:p>
    <w:p>
      <w:r>
        <w:t xml:space="preserve">              OSHA-Ca (Occupational Safety &amp; Health Administration)</w:t>
      </w:r>
    </w:p>
    <w:p>
      <w:r>
        <w:t xml:space="preserve">                None of the ingredients is listed.</w:t>
      </w:r>
    </w:p>
    <w:p>
      <w:r>
        <w:t xml:space="preserve">                    Additional toxicological information:</w:t>
      </w:r>
    </w:p>
    <w:p>
      <w:r>
        <w:t xml:space="preserve">              When this product is used clinically, patients with a history of renal or hepatic disease, seizure, asthma or</w:t>
      </w:r>
    </w:p>
    <w:p>
      <w:r>
        <w:t xml:space="preserve">                       allergic respiratory diseases, and pregnant or breast feeding women are asked to inform their physician of</w:t>
      </w:r>
    </w:p>
    <w:p>
      <w:r>
        <w:t xml:space="preserve">                     these conditions.</w:t>
      </w:r>
    </w:p>
    <w:p>
      <w:r>
        <w:t xml:space="preserve">                The GADOTERIDOL was classified by the FDA in the "Pregnancy Category C" because of the effects</w:t>
      </w:r>
    </w:p>
    <w:p>
      <w:r>
        <w:t xml:space="preserve">                   observed in animals treated with very high doses intravenously. We recommended the clinical use during</w:t>
      </w:r>
    </w:p>
    <w:p>
      <w:r>
        <w:t xml:space="preserve">                  pregnancy only when the benefit prevails over potential risk to the fetus.</w:t>
      </w:r>
    </w:p>
    <w:p>
      <w:r>
        <w:t xml:space="preserve">                            It must be borne in mind that the doses administered for medical reasons are much higher than those due to</w:t>
      </w:r>
    </w:p>
    <w:p>
      <w:r>
        <w:t xml:space="preserve">                   exposure in the workplace.</w:t>
      </w:r>
    </w:p>
    <w:p>
      <w:r>
        <w:t xml:space="preserve">               Any Eventual Delayed Effect after Prolonged Exposure:</w:t>
      </w:r>
    </w:p>
    <w:p>
      <w:r>
        <w:t xml:space="preserve">                  Repeated and prolonged exposure to skin may cause skin irritation</w:t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>                  Toxicity</w:t>
      </w:r>
    </w:p>
    <w:p>
      <w:r>
        <w:t xml:space="preserve">                  Aquatic toxicity:</w:t>
      </w:r>
    </w:p>
    <w:p>
      <w:r>
        <w:t xml:space="preserve">                  120066-54-8 (±)-[10-(2-hydroxypropyl)-1,4,7,10-tetraazacyclododecane-1,4,7-triacetate (3 -)]</w:t>
      </w:r>
    </w:p>
    <w:p>
      <w:r>
        <w:t xml:space="preserve">                           Gadolinium</w:t>
      </w:r>
    </w:p>
    <w:p>
      <w:r>
        <w:t xml:space="preserve">               EC50 &gt;920 mg/l (Daphnia)</w:t>
      </w:r>
    </w:p>
    <w:p>
      <w:r>
        <w:t xml:space="preserve">                 IC50  &gt;1000 mg/l (Activated Sludge)</w:t>
      </w:r>
    </w:p>
    <w:p>
      <w:r>
        <w:t xml:space="preserve">                  Persistence and degradability</w:t>
      </w:r>
    </w:p>
    <w:p>
      <w:r>
        <w:t xml:space="preserve">                      Half-life (hydrolysis: &lt; 10 % after 5-days at 50 degrees C at all pH levels tested; half-life determined to be</w:t>
      </w:r>
    </w:p>
    <w:p>
      <w:r>
        <w:t xml:space="preserve">                     greater than 28 days.</w:t>
      </w:r>
    </w:p>
    <w:p>
      <w:r>
        <w:t xml:space="preserve">                Bioaccumulative potential No further relevant information available.</w:t>
      </w:r>
    </w:p>
    <w:p>
      <w:r>
        <w:t xml:space="preserve">                  Mobility in soil: No further relevant information available.</w:t>
      </w:r>
    </w:p>
    <w:p>
      <w:r>
        <w:t xml:space="preserve">                  General notes:</w:t>
      </w:r>
    </w:p>
    <w:p>
      <w:r>
        <w:t xml:space="preserve">                 Water hazard class 1 (Self-assessment): slightly hazardous for water</w:t>
      </w:r>
    </w:p>
    <w:p>
      <w:r>
        <w:t xml:space="preserve">              Do not allow undiluted product or large quantities of it to reach ground water, water course or sewage system.</w:t>
      </w:r>
    </w:p>
    <w:p>
      <w:r>
        <w:t xml:space="preserve">                 Avoid transfer into the environment.</w:t>
      </w:r>
    </w:p>
    <w:p>
      <w:r>
        <w:t xml:space="preserve">                  Results of PBT and vPvB assessment</w:t>
      </w:r>
    </w:p>
    <w:p>
      <w:r>
        <w:t xml:space="preserve">               PBT: Not applicable.</w:t>
      </w:r>
    </w:p>
    <w:p>
      <w:r>
        <w:t xml:space="preserve">                 vPvB: Not applicable.</w:t>
      </w:r>
    </w:p>
    <w:p>
      <w:r>
        <w:t xml:space="preserve">                Other adverse effects No further relevant information available.</w:t>
      </w:r>
    </w:p>
    <w:p>
      <w:r>
        <w:t xml:space="preserve">                    Additional Information: Use according to good working pratice.</w:t>
      </w:r>
    </w:p>
    <w:p>
      <w:r>
        <w:t xml:space="preserve">                                                                                                                                  USA</w:t>
      </w:r>
    </w:p>
    <w:p>
      <w:r>
        <w:t xml:space="preserve">                                                                                                                                      (Contd. on page 9)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40.0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  Page 9/11</w:t>
      </w:r>
    </w:p>
    <w:p>
      <w:r>
        <w:t xml:space="preserve">                                       Safety Data Sheet</w:t>
      </w:r>
    </w:p>
    <w:p>
      <w:r>
        <w:t xml:space="preserve">                                               acc. to OSHA HCS</w:t>
      </w:r>
    </w:p>
    <w:p>
      <w:r>
        <w:t xml:space="preserve">                 Printing date 08/18/2016                         Version 3                      Reviewed on 08/18/2016</w:t>
      </w:r>
    </w:p>
    <w:p>
      <w:r>
        <w:t xml:space="preserve"/>
      </w:r>
    </w:p>
    <w:p>
      <w:r>
        <w:t xml:space="preserve">             Trade name: ProHance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(Contd. of page 8)</w:t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Waste treatment methods:</w:t>
      </w:r>
    </w:p>
    <w:p>
      <w:r>
        <w:t xml:space="preserve">                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>                      Reutilise if possible or contact a waste processors for recycling or safe disposal.</w:t>
      </w:r>
    </w:p>
    <w:p>
      <w:r>
        <w:t xml:space="preserve">                 Uncleaned packagings:</w:t>
      </w:r>
    </w:p>
    <w:p>
      <w:r>
        <w:t xml:space="preserve">                 Recommendation: Dispose in accordance with national, state, local or applicable country regulations.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>             UN-Number</w:t>
      </w:r>
    </w:p>
    <w:p>
      <w:r>
        <w:t xml:space="preserve">               DOT, ADR, ADN, IMDG, IATA             Void</w:t>
      </w:r>
    </w:p>
    <w:p>
      <w:r>
        <w:t xml:space="preserve">           UN proper shipping name</w:t>
      </w:r>
    </w:p>
    <w:p>
      <w:r>
        <w:t xml:space="preserve">               DOT, ADR, ADN, IMDG, IATA             Void</w:t>
      </w:r>
    </w:p>
    <w:p>
      <w:r>
        <w:t xml:space="preserve">                 Transport hazard class(es)</w:t>
      </w:r>
    </w:p>
    <w:p>
      <w:r>
        <w:t xml:space="preserve">               ADR, ADN, IMDG, IATA</w:t>
      </w:r>
    </w:p>
    <w:p>
      <w:r>
        <w:t xml:space="preserve">                   Class                                   Void</w:t>
      </w:r>
    </w:p>
    <w:p>
      <w:r>
        <w:t xml:space="preserve">                Packing group</w:t>
      </w:r>
    </w:p>
    <w:p>
      <w:r>
        <w:t xml:space="preserve">               DOT, ADR, IMDG, IATA                   Void</w:t>
      </w:r>
    </w:p>
    <w:p>
      <w:r>
        <w:t xml:space="preserve">                Environmental hazards:</w:t>
      </w:r>
    </w:p>
    <w:p>
      <w:r>
        <w:t xml:space="preserve">                 Marine pollutant:                     No</w:t>
      </w:r>
    </w:p>
    <w:p>
      <w:r>
        <w:t xml:space="preserve">                  Special precautions for user              Not applicable.</w:t>
      </w:r>
    </w:p>
    <w:p>
      <w:r>
        <w:t xml:space="preserve">                 Transport in bulk according to Annex II of</w:t>
      </w:r>
    </w:p>
    <w:p>
      <w:r>
        <w:t xml:space="preserve">             MARPOL73/78 and the IBC Code         Not applicable.</w:t>
      </w:r>
    </w:p>
    <w:p>
      <w:r>
        <w:t xml:space="preserve">            UN "Model Regulation":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>                   Safety, health and environmental regulations/legislation specific for the substance or mixture</w:t>
      </w:r>
    </w:p>
    <w:p>
      <w:r>
        <w:t xml:space="preserve">                 Sara</w:t>
      </w:r>
    </w:p>
    <w:p>
      <w:r>
        <w:t xml:space="preserve">                   Section 355 (extremely hazardous substances):</w:t>
      </w:r>
    </w:p>
    <w:p>
      <w:r>
        <w:t xml:space="preserve">                None of the ingredients is listed.</w:t>
      </w:r>
    </w:p>
    <w:p>
      <w:r>
        <w:t xml:space="preserve">                   Section 313 (Specific toxic chemical listings):</w:t>
      </w:r>
    </w:p>
    <w:p>
      <w:r>
        <w:t xml:space="preserve">                None of the ingredients is listed.</w:t>
      </w:r>
    </w:p>
    <w:p>
      <w:r>
        <w:t xml:space="preserve">              TSCA (Toxic Substances Control Act):</w:t>
      </w:r>
    </w:p>
    <w:p>
      <w:r>
        <w:t xml:space="preserve">                  7732-18-5 Water USP</w:t>
      </w:r>
    </w:p>
    <w:p>
      <w:r>
        <w:t xml:space="preserve">                     77-86-1 trometamol</w:t>
      </w:r>
    </w:p>
    <w:p>
      <w:r>
        <w:t xml:space="preserve">                   Proposition 65</w:t>
      </w:r>
    </w:p>
    <w:p>
      <w:r>
        <w:t xml:space="preserve">                  Chemicals known to cause cancer:</w:t>
      </w:r>
    </w:p>
    <w:p>
      <w:r>
        <w:t xml:space="preserve">                None of the ingredients is listed.</w:t>
      </w:r>
    </w:p>
    <w:p>
      <w:r>
        <w:t xml:space="preserve">                  Chemicals known to cause reproductive toxicity for females:</w:t>
      </w:r>
    </w:p>
    <w:p>
      <w:r>
        <w:t xml:space="preserve">                None of the ingredients is listed.</w:t>
      </w:r>
    </w:p>
    <w:p>
      <w:r>
        <w:t xml:space="preserve">                                                                                                                                    (Contd. on page 10)</w:t>
      </w:r>
    </w:p>
    <w:p>
      <w:r>
        <w:t xml:space="preserve">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40.0</w:t>
      </w:r>
    </w:p>
    <w:p>
      <w:r>
        <w:rPr>
          <w:b/>
        </w:rPr>
        <w:t xml:space="preserve">Page 10</w:t>
      </w:r>
    </w:p>
    <w:p>
      <w:r>
        <w:t xml:space="preserve">                                                                                                   Page 10/11</w:t>
      </w:r>
    </w:p>
    <w:p>
      <w:r>
        <w:t xml:space="preserve">                                       Safety Data Sheet</w:t>
      </w:r>
    </w:p>
    <w:p>
      <w:r>
        <w:t xml:space="preserve">                                               acc. to OSHA HCS</w:t>
      </w:r>
    </w:p>
    <w:p>
      <w:r>
        <w:t xml:space="preserve">                 Printing date 08/18/2016                        Version 3                      Reviewed on 08/18/2016</w:t>
      </w:r>
    </w:p>
    <w:p>
      <w:r>
        <w:t xml:space="preserve"/>
      </w:r>
    </w:p>
    <w:p>
      <w:r>
        <w:t xml:space="preserve">             Trade name: ProHance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(Contd. of page 9)</w:t>
      </w:r>
    </w:p>
    <w:p>
      <w:r>
        <w:t xml:space="preserve">                  Chemicals known to cause reproductive toxicity for males:</w:t>
      </w:r>
    </w:p>
    <w:p>
      <w:r>
        <w:t xml:space="preserve">                None of the ingredients is listed.</w:t>
      </w:r>
    </w:p>
    <w:p>
      <w:r>
        <w:t xml:space="preserve">                  Chemicals known to cause developmental toxicity: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Carcinogenic categories</w:t>
      </w:r>
    </w:p>
    <w:p>
      <w:r>
        <w:t xml:space="preserve">             EPA (Environmental Protection Agency)</w:t>
      </w:r>
    </w:p>
    <w:p>
      <w:r>
        <w:t xml:space="preserve">                None of the ingredients is listed.</w:t>
      </w:r>
    </w:p>
    <w:p>
      <w:r>
        <w:t xml:space="preserve">             TLV (Threshold Limit Value established by ACGIH)</w:t>
      </w:r>
    </w:p>
    <w:p>
      <w:r>
        <w:t xml:space="preserve">                None of the ingredients is listed.</w:t>
      </w:r>
    </w:p>
    <w:p>
      <w:r>
        <w:t xml:space="preserve">               NIOSH-Ca (National Institute for Occupational Safety and Health)</w:t>
      </w:r>
    </w:p>
    <w:p>
      <w:r>
        <w:t xml:space="preserve">                None of the ingredients is listed.</w:t>
      </w:r>
    </w:p>
    <w:p>
      <w:r>
        <w:t xml:space="preserve">            GHS label elements Not applicable.</w:t>
      </w:r>
    </w:p>
    <w:p>
      <w:r>
        <w:t xml:space="preserve">                 Hazard pictograms Not applicable.</w:t>
      </w:r>
    </w:p>
    <w:p>
      <w:r>
        <w:t xml:space="preserve">                   Signal word Not applicable.</w:t>
      </w:r>
    </w:p>
    <w:p>
      <w:r>
        <w:t xml:space="preserve">                 Hazard statements Not applicable.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>                    Significant Dangers:</w:t>
      </w:r>
    </w:p>
    <w:p>
      <w:r>
        <w:t xml:space="preserve">                   Training Hints:</w:t>
      </w:r>
    </w:p>
    <w:p>
      <w:r>
        <w:t xml:space="preserve">                    All persons handling this product should be informed on the existence of the hazard, on any possible risk they</w:t>
      </w:r>
    </w:p>
    <w:p>
      <w:r>
        <w:t xml:space="preserve">                  might be subjected to and about all required protective measures to prevent such a damage or to reduce the</w:t>
      </w:r>
    </w:p>
    <w:p>
      <w:r>
        <w:t xml:space="preserve">                     exposition.</w:t>
      </w:r>
    </w:p>
    <w:p>
      <w:r>
        <w:t xml:space="preserve">              WARNINGS:</w:t>
      </w:r>
    </w:p>
    <w:p>
      <w:r>
        <w:t xml:space="preserve">                    Diagnostic agents are intended for use under direction of a physician and/or under the conditions of use</w:t>
      </w:r>
    </w:p>
    <w:p>
      <w:r>
        <w:t xml:space="preserve">                    described on the label and in the product’s package insert. As a general precaution, personnel who handle drug</w:t>
      </w:r>
    </w:p>
    <w:p>
      <w:r>
        <w:t xml:space="preserve">                    substances should avoid contact (ingestion, inhalation, skin and eye contact) with these substances.</w:t>
      </w:r>
    </w:p>
    <w:p>
      <w:r>
        <w:t xml:space="preserve">                 Department issuing SDS:</w:t>
      </w:r>
    </w:p>
    <w:p>
      <w:r>
        <w:t xml:space="preserve">                 B-Lands Consulting</w:t>
      </w:r>
    </w:p>
    <w:p>
      <w:r>
        <w:t xml:space="preserve">              WTC, 5 Place Robert Schuman, BP 1516</w:t>
      </w:r>
    </w:p>
    <w:p>
      <w:r>
        <w:t xml:space="preserve">                 38025 Grenoble, FRANCE</w:t>
      </w:r>
    </w:p>
    <w:p>
      <w:r>
        <w:t xml:space="preserve">                     Tel: +33 476 295 869</w:t>
      </w:r>
    </w:p>
    <w:p>
      <w:r>
        <w:t xml:space="preserve">                   Fax: +33 476 295 870</w:t>
      </w:r>
    </w:p>
    <w:p>
      <w:r>
        <w:t xml:space="preserve">                   services@reachteam.eu</w:t>
      </w:r>
    </w:p>
    <w:p>
      <w:r>
        <w:t xml:space="preserve">                  www.reachteam.eu</w:t>
      </w:r>
    </w:p>
    <w:p>
      <w:r>
        <w:t xml:space="preserve">                 Date of preparation / last revision: 08/18/2016</w:t>
      </w:r>
    </w:p>
    <w:p>
      <w:r>
        <w:t xml:space="preserve">                   Abbreviations and acronyms:</w:t>
      </w:r>
    </w:p>
    <w:p>
      <w:r>
        <w:t xml:space="preserve">                     RID: Règlement international concernant le transport des marchandises dangereuses par chemin de fer (Regulations Concerning the</w:t>
      </w:r>
    </w:p>
    <w:p>
      <w:r>
        <w:t xml:space="preserve">                           International Transport of Dangerous Goods by Rail)</w:t>
      </w:r>
    </w:p>
    <w:p>
      <w:r>
        <w:t xml:space="preserve">                    ICAO: International Civil Aviation Organisation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   LC50: Lethal concentration, 50 percent</w:t>
      </w:r>
    </w:p>
    <w:p>
      <w:r>
        <w:t xml:space="preserve">                                                                                                                                    (Contd. on page 11)</w:t>
      </w:r>
    </w:p>
    <w:p>
      <w:r>
        <w:t xml:space="preserve">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40.0</w:t>
      </w:r>
    </w:p>
    <w:p>
      <w:r>
        <w:rPr>
          <w:b/>
        </w:rPr>
        <w:t xml:space="preserve">Page 11</w:t>
      </w:r>
    </w:p>
    <w:p>
      <w:r>
        <w:t xml:space="preserve">                                                                                                   Page 11/11</w:t>
      </w:r>
    </w:p>
    <w:p>
      <w:r>
        <w:t xml:space="preserve">                                       Safety Data Sheet</w:t>
      </w:r>
    </w:p>
    <w:p>
      <w:r>
        <w:t xml:space="preserve">                                               acc. to OSHA HCS</w:t>
      </w:r>
    </w:p>
    <w:p>
      <w:r>
        <w:t xml:space="preserve">                 Printing date 08/18/2016                         Version 3                      Reviewed on 08/18/2016</w:t>
      </w:r>
    </w:p>
    <w:p>
      <w:r>
        <w:t xml:space="preserve"/>
      </w:r>
    </w:p>
    <w:p>
      <w:r>
        <w:t xml:space="preserve">             Trade name: ProHance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(Contd. of page 10)</w:t>
      </w:r>
    </w:p>
    <w:p>
      <w:r>
        <w:t xml:space="preserve">                    LD50: Lethal dose, 50 percent</w:t>
      </w:r>
    </w:p>
    <w:p>
      <w:r>
        <w:t xml:space="preserve">                 * Data compared to the previous version altered.</w:t>
      </w:r>
    </w:p>
    <w:p>
      <w:r>
        <w:t xml:space="preserve">                          - data updating on the basis of the latest amendments.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40.0</w:t>
      </w:r>
    </w:p>
    <w:sectPr>
      <w:pgSz w:w="11906" w:h="16838"/>
      <w:pgMar w:top="1134" w:right="1134" w:bottom="1134" w:left="1134"/>
    </w:sectPr>
  </w:body>
</w:document>
</file>