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ProHance - Gadoteridol injection Sheet Code: 270 SDS</w:t>
      </w:r>
    </w:p>
    <w:p>
      <w:r>
        <w:t xml:space="preserve">Publisher: Bracco</w:t>
      </w:r>
    </w:p>
    <w:p>
      <w:r>
        <w:t xml:space="preserve">Source: https://resds.com/document/prohance-gadoteridol-injection-sds-en-e6b26b18a4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Page 1/9</w:t>
      </w:r>
    </w:p>
    <w:p>
      <w:r>
        <w:t xml:space="preserve">                                  Safety Data Sheet</w:t>
      </w:r>
    </w:p>
    <w:p>
      <w:r>
        <w:t xml:space="preserve">                                  According to OSHA HazCom Standard [2012]</w:t>
      </w:r>
    </w:p>
    <w:p>
      <w:r>
        <w:t xml:space="preserve">             Printing date 02/22/2019                        Version 4                     Reviewed on 02/22/2019</w:t>
      </w:r>
    </w:p>
    <w:p>
      <w:r>
        <w:t xml:space="preserve"/>
      </w:r>
    </w:p>
    <w:p>
      <w:r>
        <w:t xml:space="preserve">          1 Identification</w:t>
      </w:r>
    </w:p>
    <w:p>
      <w:r>
        <w:t xml:space="preserve">            Product identifier Sheet Code: 270</w:t>
      </w:r>
    </w:p>
    <w:p>
      <w:r>
        <w:t xml:space="preserve">             Trade name: ProHance</w:t>
      </w:r>
    </w:p>
    <w:p>
      <w:r>
        <w:t xml:space="preserve">                         Chemical Name: 10-(2-hydroxypropyl)-1,4,7,10-tetraazacyclododecane-1,4,7-triacetic acid,</w:t>
      </w:r>
    </w:p>
    <w:p>
      <w:r>
        <w:t xml:space="preserve">                         monogadolinium salt.</w:t>
      </w:r>
    </w:p>
    <w:p>
      <w:r>
        <w:t xml:space="preserve">                        Synonyms: Gadoteridol Injection</w:t>
      </w:r>
    </w:p>
    <w:p>
      <w:r>
        <w:t xml:space="preserve">              Application of the substance / the mixture:</w:t>
      </w:r>
    </w:p>
    <w:p>
      <w:r>
        <w:t xml:space="preserve">               Intravenous injection contrast medium formagnetic resonance imaging.</w:t>
      </w:r>
    </w:p>
    <w:p>
      <w:r>
        <w:t xml:space="preserve">         We recommend that you use this product in a manner consistent with the listed use. If your intended use is</w:t>
      </w:r>
    </w:p>
    <w:p>
      <w:r>
        <w:t xml:space="preserve">               not consistent with the stated use, please contact your sales or technical service representative.</w:t>
      </w:r>
    </w:p>
    <w:p>
      <w:r>
        <w:t xml:space="preserve">             Packages of five single dose vials (5 mL fill in15 mL vial, and 10, 15, or 20 mL fills in 30 mL vials).</w:t>
      </w:r>
    </w:p>
    <w:p>
      <w:r>
        <w:t xml:space="preserve">             Packages of five single dose prefilled syringes (10 or 17 mL fills in a 20 mL syringes).</w:t>
      </w:r>
    </w:p>
    <w:p>
      <w:r>
        <w:t xml:space="preserve">             Details of the supplier of the safety data sheet</w:t>
      </w:r>
    </w:p>
    <w:p>
      <w:r>
        <w:t xml:space="preserve">              Manufacturer/Supplier:</w:t>
      </w:r>
    </w:p>
    <w:p>
      <w:r>
        <w:t xml:space="preserve">             Bracco Diagnostics Inc.</w:t>
      </w:r>
    </w:p>
    <w:p>
      <w:r>
        <w:t xml:space="preserve">              P.O. Box 5225 Princeton, NJ 08543</w:t>
      </w:r>
    </w:p>
    <w:p>
      <w:r>
        <w:t xml:space="preserve">            Phone number: 1-800-257-5181</w:t>
      </w:r>
    </w:p>
    <w:p>
      <w:r>
        <w:t xml:space="preserve">               Email: Hse@bracco.com (responsible for the SDS)</w:t>
      </w:r>
    </w:p>
    <w:p>
      <w:r>
        <w:t xml:space="preserve">              Information department:</w:t>
      </w:r>
    </w:p>
    <w:p>
      <w:r>
        <w:t xml:space="preserve">             B-Lands Consulting</w:t>
      </w:r>
    </w:p>
    <w:p>
      <w:r>
        <w:t xml:space="preserve">           WTC, 5 Place Robert Schuman, BP 1516</w:t>
      </w:r>
    </w:p>
    <w:p>
      <w:r>
        <w:t xml:space="preserve">            38025 Grenoble, FRANCE</w:t>
      </w:r>
    </w:p>
    <w:p>
      <w:r>
        <w:t xml:space="preserve">                Tel: +33 476 295 869</w:t>
      </w:r>
    </w:p>
    <w:p>
      <w:r>
        <w:t xml:space="preserve">              Fax: +33 476 295 870</w:t>
      </w:r>
    </w:p>
    <w:p>
      <w:r>
        <w:t xml:space="preserve">               Email: clients@reachteam.eu</w:t>
      </w:r>
    </w:p>
    <w:p>
      <w:r>
        <w:t xml:space="preserve">             www.reachteam.eu</w:t>
      </w:r>
    </w:p>
    <w:p>
      <w:r>
        <w:t xml:space="preserve">          2 Hazard(s) identification</w:t>
      </w:r>
    </w:p>
    <w:p>
      <w:r>
        <w:t xml:space="preserve">             Classification of the substance or mixture</w:t>
      </w:r>
    </w:p>
    <w:p>
      <w:r>
        <w:t xml:space="preserve">            The product is not classified, according to the Globally Harmonized System (GHS).</w:t>
      </w:r>
    </w:p>
    <w:p>
      <w:r>
        <w:t xml:space="preserve">            Label elements</w:t>
      </w:r>
    </w:p>
    <w:p>
      <w:r>
        <w:t xml:space="preserve">          GHS label elements Not applicable.</w:t>
      </w:r>
    </w:p>
    <w:p>
      <w:r>
        <w:t xml:space="preserve">            Hazard pictograms Not applicable.</w:t>
      </w:r>
    </w:p>
    <w:p>
      <w:r>
        <w:t xml:space="preserve">              Signal word Not applicable.</w:t>
      </w:r>
    </w:p>
    <w:p>
      <w:r>
        <w:t xml:space="preserve">            Hazard statements Not applicable.</w:t>
      </w:r>
    </w:p>
    <w:p>
      <w:r>
        <w:t xml:space="preserve">             Additional Information:</w:t>
      </w:r>
    </w:p>
    <w:p>
      <w:r>
        <w:t xml:space="preserve">             Classification system:</w:t>
      </w:r>
    </w:p>
    <w:p>
      <w:r>
        <w:t xml:space="preserve">          NFPA ratings (scale 0 - 4)</w:t>
      </w:r>
    </w:p>
    <w:p>
      <w:r>
        <w:t xml:space="preserve">           0      HealthFire = 0= 0</w:t>
      </w:r>
    </w:p>
    <w:p>
      <w:r>
        <w:t xml:space="preserve">         0  0   Reactivity = 0</w:t>
      </w:r>
    </w:p>
    <w:p>
      <w:r>
        <w:t xml:space="preserve">             HMIS-ratings (scale 0 - 4)</w:t>
      </w:r>
    </w:p>
    <w:p>
      <w:r>
        <w:t xml:space="preserve">                HEALTH     0  Health = 0</w:t>
      </w:r>
    </w:p>
    <w:p>
      <w:r>
        <w:t xml:space="preserve">                   FIRE        0  Fire = 0</w:t>
      </w:r>
    </w:p>
    <w:p>
      <w:r>
        <w:t xml:space="preserve">                  REACTIVITY 0  Reactivity = 0</w:t>
      </w:r>
    </w:p>
    <w:p>
      <w:r>
        <w:t xml:space="preserve"/>
      </w:r>
    </w:p>
    <w:p>
      <w:r>
        <w:t xml:space="preserve">            Other hazards No further relevant information available.</w:t>
      </w:r>
    </w:p>
    <w:p>
      <w:r>
        <w:t xml:space="preserve">             Results of PBT and vPvB assessment</w:t>
      </w:r>
    </w:p>
    <w:p>
      <w:r>
        <w:t xml:space="preserve">            PBT: Not applicable.</w:t>
      </w:r>
    </w:p>
    <w:p>
      <w:r>
        <w:t xml:space="preserve">            vPvB: Not applicable.</w:t>
      </w:r>
    </w:p>
    <w:p>
      <w:r>
        <w:t xml:space="preserve">                                                                                                  (Contd. on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48.1.0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Page 2/9</w:t>
      </w:r>
    </w:p>
    <w:p>
      <w:r>
        <w:t xml:space="preserve">                                  Safety Data Sheet</w:t>
      </w:r>
    </w:p>
    <w:p>
      <w:r>
        <w:t xml:space="preserve">                                  According to OSHA HazCom Standard [2012]</w:t>
      </w:r>
    </w:p>
    <w:p>
      <w:r>
        <w:t xml:space="preserve">             Printing date 02/22/2019                        Version 4                     Reviewed on 02/22/2019</w:t>
      </w:r>
    </w:p>
    <w:p>
      <w:r>
        <w:t xml:space="preserve">         Trade name: ProHance</w:t>
      </w:r>
    </w:p>
    <w:p>
      <w:r>
        <w:t xml:space="preserve">                       Chemical Name: 10-(2-hydroxypropyl)-1,4,7,10-tetraazacyclododecane-1,4,7-triacetic acid,</w:t>
      </w:r>
    </w:p>
    <w:p>
      <w:r>
        <w:t xml:space="preserve">                       monogadolinium salt.</w:t>
      </w:r>
    </w:p>
    <w:p>
      <w:r>
        <w:t xml:space="preserve">                       Synonyms: Gadoteridol Injection</w:t>
      </w:r>
    </w:p>
    <w:p>
      <w:r>
        <w:t xml:space="preserve"/>
      </w:r>
    </w:p>
    <w:p>
      <w:r>
        <w:t xml:space="preserve">                                                                                                   (Contd. of page 1)</w:t>
      </w:r>
    </w:p>
    <w:p>
      <w:r>
        <w:t xml:space="preserve">          3 Composition/information on ingredients</w:t>
      </w:r>
    </w:p>
    <w:p>
      <w:r>
        <w:t xml:space="preserve">            Chemical characterization: Mixtures</w:t>
      </w:r>
    </w:p>
    <w:p>
      <w:r>
        <w:t xml:space="preserve">              Description: Mixture: consisting of the following components.</w:t>
      </w:r>
    </w:p>
    <w:p>
      <w:r>
        <w:t xml:space="preserve">            Hazardous Components: Not applicable.</w:t>
      </w:r>
    </w:p>
    <w:p>
      <w:r>
        <w:t xml:space="preserve">              Information on components:</w:t>
      </w:r>
    </w:p>
    <w:p>
      <w:r>
        <w:t xml:space="preserve">                7732-18-5 Water USP                                                        50-100%</w:t>
      </w:r>
    </w:p>
    <w:p>
      <w:r>
        <w:t xml:space="preserve">             120066-54-8 (±)-[10-(2-hydroxypropyl)-1,4,7,10-tetraazacyclododecane-1,4,7-triacetate (3 -)]    27.9%</w:t>
      </w:r>
    </w:p>
    <w:p>
      <w:r>
        <w:t xml:space="preserve">                          Gadolinium</w:t>
      </w:r>
    </w:p>
    <w:p>
      <w:r>
        <w:t xml:space="preserve">          4 First-aid measures</w:t>
      </w:r>
    </w:p>
    <w:p>
      <w:r>
        <w:t xml:space="preserve">            Description of first aid measures</w:t>
      </w:r>
    </w:p>
    <w:p>
      <w:r>
        <w:t xml:space="preserve">             General information: No special measures required.</w:t>
      </w:r>
    </w:p>
    <w:p>
      <w:r>
        <w:t xml:space="preserve">               After inhalation:</w:t>
      </w:r>
    </w:p>
    <w:p>
      <w:r>
        <w:t xml:space="preserve">           Move patient to fresh air, if symptom arise consult a doctor.</w:t>
      </w:r>
    </w:p>
    <w:p>
      <w:r>
        <w:t xml:space="preserve">              Supply fresh air. If required, provide artificial respiration. Consult doctor if symptoms persist.</w:t>
      </w:r>
    </w:p>
    <w:p>
      <w:r>
        <w:t xml:space="preserve">               After skin contact:</w:t>
      </w:r>
    </w:p>
    <w:p>
      <w:r>
        <w:t xml:space="preserve">              Immediately wash with water and soap and rinse thoroughly.</w:t>
      </w:r>
    </w:p>
    <w:p>
      <w:r>
        <w:t xml:space="preserve">                         If symptoms persist, consult a doctor.</w:t>
      </w:r>
    </w:p>
    <w:p>
      <w:r>
        <w:t xml:space="preserve">               Generally the product does not irritate the skin.</w:t>
      </w:r>
    </w:p>
    <w:p>
      <w:r>
        <w:t xml:space="preserve">               After eye contact:</w:t>
      </w:r>
    </w:p>
    <w:p>
      <w:r>
        <w:t xml:space="preserve">              Rinse opened eye for several minutes under running water.</w:t>
      </w:r>
    </w:p>
    <w:p>
      <w:r>
        <w:t xml:space="preserve">                         If irritation persists get medical attention.</w:t>
      </w:r>
    </w:p>
    <w:p>
      <w:r>
        <w:t xml:space="preserve">               After swallowing:</w:t>
      </w:r>
    </w:p>
    <w:p>
      <w:r>
        <w:t xml:space="preserve">              Immediately call a doctor.</w:t>
      </w:r>
    </w:p>
    <w:p>
      <w:r>
        <w:t xml:space="preserve">              Vomiting may be induced only if a person is conscious and if ingestion has occurred within the past three</w:t>
      </w:r>
    </w:p>
    <w:p>
      <w:r>
        <w:t xml:space="preserve">               hours. Never induce vomiting in a person who is unconscious or experiencing convulsions.</w:t>
      </w:r>
    </w:p>
    <w:p>
      <w:r>
        <w:t xml:space="preserve">            Most important symptoms and effects, both acute and delayed</w:t>
      </w:r>
    </w:p>
    <w:p>
      <w:r>
        <w:t xml:space="preserve">           No further relevant information available.</w:t>
      </w:r>
    </w:p>
    <w:p>
      <w:r>
        <w:t xml:space="preserve">               Indication of any immediate medical attention and special treatment needed</w:t>
      </w:r>
    </w:p>
    <w:p>
      <w:r>
        <w:t xml:space="preserve">           No further relevant information available.</w:t>
      </w:r>
    </w:p>
    <w:p>
      <w:r>
        <w:t xml:space="preserve">          5 Fire-fighting measures</w:t>
      </w:r>
    </w:p>
    <w:p>
      <w:r>
        <w:t xml:space="preserve">            Extinguishing media</w:t>
      </w:r>
    </w:p>
    <w:p>
      <w:r>
        <w:t xml:space="preserve">              Suitable extinguishing agents: In case of fire, flood with Water</w:t>
      </w:r>
    </w:p>
    <w:p>
      <w:r>
        <w:t xml:space="preserve">            Special hazards arising from the substance or mixture</w:t>
      </w:r>
    </w:p>
    <w:p>
      <w:r>
        <w:t xml:space="preserve">                 In case of fire, the following can be released:</w:t>
      </w:r>
    </w:p>
    <w:p>
      <w:r>
        <w:t xml:space="preserve">             Carbon Dioxide (CO2)</w:t>
      </w:r>
    </w:p>
    <w:p>
      <w:r>
        <w:t xml:space="preserve">                 In the absence of Oxygen: Carbon Monoxide (CO)</w:t>
      </w:r>
    </w:p>
    <w:p>
      <w:r>
        <w:t xml:space="preserve">               Nitrogen Oxides (NxOy)</w:t>
      </w:r>
    </w:p>
    <w:p>
      <w:r>
        <w:t xml:space="preserve">              Gadolinium Oxide (Gd2O3)</w:t>
      </w:r>
    </w:p>
    <w:p>
      <w:r>
        <w:t xml:space="preserve">            Advice for firefighters</w:t>
      </w:r>
    </w:p>
    <w:p>
      <w:r>
        <w:t xml:space="preserve">              Protective equipment:</w:t>
      </w:r>
    </w:p>
    <w:p>
      <w:r>
        <w:t xml:space="preserve">                 Firefighters should wear adequate personal protective equipment with protection of respiratory tract</w:t>
      </w:r>
    </w:p>
    <w:p>
      <w:r>
        <w:t xml:space="preserve">                (selfcontained breathing apparatus) (SCBA).</w:t>
      </w:r>
    </w:p>
    <w:p>
      <w:r>
        <w:t xml:space="preserve">                 In addition, firefighters should wear flame and chemicals resistant clothing, boots and gloves.</w:t>
      </w:r>
    </w:p>
    <w:p>
      <w:r>
        <w:t xml:space="preserve">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48.1.0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Page 3/9</w:t>
      </w:r>
    </w:p>
    <w:p>
      <w:r>
        <w:t xml:space="preserve">                                  Safety Data Sheet</w:t>
      </w:r>
    </w:p>
    <w:p>
      <w:r>
        <w:t xml:space="preserve">                                  According to OSHA HazCom Standard [2012]</w:t>
      </w:r>
    </w:p>
    <w:p>
      <w:r>
        <w:t xml:space="preserve">             Printing date 02/22/2019                        Version 4                     Reviewed on 02/22/2019</w:t>
      </w:r>
    </w:p>
    <w:p>
      <w:r>
        <w:t xml:space="preserve">         Trade name: ProHance</w:t>
      </w:r>
    </w:p>
    <w:p>
      <w:r>
        <w:t xml:space="preserve">                       Chemical Name: 10-(2-hydroxypropyl)-1,4,7,10-tetraazacyclododecane-1,4,7-triacetic acid,</w:t>
      </w:r>
    </w:p>
    <w:p>
      <w:r>
        <w:t xml:space="preserve">                       monogadolinium salt.</w:t>
      </w:r>
    </w:p>
    <w:p>
      <w:r>
        <w:t xml:space="preserve">                       Synonyms: Gadoteridol Injection</w:t>
      </w:r>
    </w:p>
    <w:p>
      <w:r>
        <w:t xml:space="preserve"/>
      </w:r>
    </w:p>
    <w:p>
      <w:r>
        <w:t xml:space="preserve">                                                                                                   (Contd. of page 2)</w:t>
      </w:r>
    </w:p>
    <w:p>
      <w:r>
        <w:t xml:space="preserve">          6 Accidental release measures</w:t>
      </w:r>
    </w:p>
    <w:p>
      <w:r>
        <w:t xml:space="preserve">            Personal precautions, protective equipment and emergency procedures</w:t>
      </w:r>
    </w:p>
    <w:p>
      <w:r>
        <w:t xml:space="preserve">            Keep away from ignition sources</w:t>
      </w:r>
    </w:p>
    <w:p>
      <w:r>
        <w:t xml:space="preserve">           Wear protective equipment. Keep unprotected persons away.</w:t>
      </w:r>
    </w:p>
    <w:p>
      <w:r>
        <w:t xml:space="preserve">            Environmental precautions: Do not allow to enter sewers/ surface or ground water.</w:t>
      </w:r>
    </w:p>
    <w:p>
      <w:r>
        <w:t xml:space="preserve">           Methods and material for containment and cleaning up:</w:t>
      </w:r>
    </w:p>
    <w:p>
      <w:r>
        <w:t xml:space="preserve">             Absorb with liquid-binding material.</w:t>
      </w:r>
    </w:p>
    <w:p>
      <w:r>
        <w:t xml:space="preserve">             Absorb with liquid-binding material (sand, diatomite, vermiculite) or other non combustible absorbent</w:t>
      </w:r>
    </w:p>
    <w:p>
      <w:r>
        <w:t xml:space="preserve">                material. Place spilt material in an appropriate container for disposal. The spill area should be ventilated</w:t>
      </w:r>
    </w:p>
    <w:p>
      <w:r>
        <w:t xml:space="preserve">            and decontaminated after material is collected.</w:t>
      </w:r>
    </w:p>
    <w:p>
      <w:r>
        <w:t xml:space="preserve">            Reference to other sections</w:t>
      </w:r>
    </w:p>
    <w:p>
      <w:r>
        <w:t xml:space="preserve">           No dangerous substances are released.</w:t>
      </w:r>
    </w:p>
    <w:p>
      <w:r>
        <w:t xml:space="preserve">            See Section 7 for information on safe handling.</w:t>
      </w:r>
    </w:p>
    <w:p>
      <w:r>
        <w:t xml:space="preserve">            See Section 8 for information on personal protection equipment.</w:t>
      </w:r>
    </w:p>
    <w:p>
      <w:r>
        <w:t xml:space="preserve">            See Section 13 for disposal information.</w:t>
      </w:r>
    </w:p>
    <w:p>
      <w:r>
        <w:t xml:space="preserve">             Protective Action Criteria for Chemicals</w:t>
      </w:r>
    </w:p>
    <w:p>
      <w:r>
        <w:t xml:space="preserve">             PAC-1:</w:t>
      </w:r>
    </w:p>
    <w:p>
      <w:r>
        <w:t xml:space="preserve">              77-86-1 trometamol                                                            18 mg/m³</w:t>
      </w:r>
    </w:p>
    <w:p>
      <w:r>
        <w:t xml:space="preserve">             PAC-2:</w:t>
      </w:r>
    </w:p>
    <w:p>
      <w:r>
        <w:t xml:space="preserve">              77-86-1 trometamol                                                            190 mg/m³</w:t>
      </w:r>
    </w:p>
    <w:p>
      <w:r>
        <w:t xml:space="preserve">             PAC-3:</w:t>
      </w:r>
    </w:p>
    <w:p>
      <w:r>
        <w:t xml:space="preserve">              77-86-1 trometamol                                                                1,200 mg/m³</w:t>
      </w:r>
    </w:p>
    <w:p>
      <w:r>
        <w:t xml:space="preserve">          7 Handling and storage</w:t>
      </w:r>
    </w:p>
    <w:p>
      <w:r>
        <w:t xml:space="preserve">             Precautions for safe handling</w:t>
      </w:r>
    </w:p>
    <w:p>
      <w:r>
        <w:t xml:space="preserve">              Avoid splashes or spray in enclosed areas.</w:t>
      </w:r>
    </w:p>
    <w:p>
      <w:r>
        <w:t xml:space="preserve">              Avoid contact with the eyes and skin.</w:t>
      </w:r>
    </w:p>
    <w:p>
      <w:r>
        <w:t xml:space="preserve">           Do not break vials</w:t>
      </w:r>
    </w:p>
    <w:p>
      <w:r>
        <w:t xml:space="preserve">              Information about protection against explosions and fires: No special measures required.</w:t>
      </w:r>
    </w:p>
    <w:p>
      <w:r>
        <w:t xml:space="preserve">            Conditions for safe storage, including any incompatibilities</w:t>
      </w:r>
    </w:p>
    <w:p>
      <w:r>
        <w:t xml:space="preserve">            Requirements to be met by storerooms and receptacles:</w:t>
      </w:r>
    </w:p>
    <w:p>
      <w:r>
        <w:t xml:space="preserve">              Store in a cool, dry place in well sealed receptacles.</w:t>
      </w:r>
    </w:p>
    <w:p>
      <w:r>
        <w:t xml:space="preserve">              Information about storage in one common storage facility: Not required.</w:t>
      </w:r>
    </w:p>
    <w:p>
      <w:r>
        <w:t xml:space="preserve">              Further information about storage conditions:</w:t>
      </w:r>
    </w:p>
    <w:p>
      <w:r>
        <w:t xml:space="preserve">              Container Requirements: Single dose 15, 30 and 50 mL vials and 20 mL prefilled syringes.</w:t>
      </w:r>
    </w:p>
    <w:p>
      <w:r>
        <w:t xml:space="preserve">              Storage Conditions: Store at 25° C, excursions perm itted to 15-30°C. Protect from light and do not fre eze.</w:t>
      </w:r>
    </w:p>
    <w:p>
      <w:r>
        <w:t xml:space="preserve">             Specific end use(s) No further relevant information available.</w:t>
      </w:r>
    </w:p>
    <w:p>
      <w:r>
        <w:t xml:space="preserve">          8 Exposure controls/personal protection</w:t>
      </w:r>
    </w:p>
    <w:p>
      <w:r>
        <w:t xml:space="preserve">            Control parameters</w:t>
      </w:r>
    </w:p>
    <w:p>
      <w:r>
        <w:t xml:space="preserve">           Components with limit values that require monitoring at the workplace:</w:t>
      </w:r>
    </w:p>
    <w:p>
      <w:r>
        <w:t xml:space="preserve">            The product does not contain any relevant quantities of materials with critical values that have to be</w:t>
      </w:r>
    </w:p>
    <w:p>
      <w:r>
        <w:t xml:space="preserve">              monitored at the workplace.</w:t>
      </w:r>
    </w:p>
    <w:p>
      <w:r>
        <w:t xml:space="preserve">              Additional information: The lists that were valid during the creation were used as basis.</w:t>
      </w:r>
    </w:p>
    <w:p>
      <w:r>
        <w:t xml:space="preserve">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48.1.0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Page 4/9</w:t>
      </w:r>
    </w:p>
    <w:p>
      <w:r>
        <w:t xml:space="preserve">                                  Safety Data Sheet</w:t>
      </w:r>
    </w:p>
    <w:p>
      <w:r>
        <w:t xml:space="preserve">                                  According to OSHA HazCom Standard [2012]</w:t>
      </w:r>
    </w:p>
    <w:p>
      <w:r>
        <w:t xml:space="preserve">             Printing date 02/22/2019                        Version 4                     Reviewed on 02/22/2019</w:t>
      </w:r>
    </w:p>
    <w:p>
      <w:r>
        <w:t xml:space="preserve">         Trade name: ProHance</w:t>
      </w:r>
    </w:p>
    <w:p>
      <w:r>
        <w:t xml:space="preserve">                       Chemical Name: 10-(2-hydroxypropyl)-1,4,7,10-tetraazacyclododecane-1,4,7-triacetic acid,</w:t>
      </w:r>
    </w:p>
    <w:p>
      <w:r>
        <w:t xml:space="preserve">                       monogadolinium salt.</w:t>
      </w:r>
    </w:p>
    <w:p>
      <w:r>
        <w:t xml:space="preserve">                       Synonyms: Gadoteridol Injection</w:t>
      </w:r>
    </w:p>
    <w:p>
      <w:r>
        <w:t xml:space="preserve"/>
      </w:r>
    </w:p>
    <w:p>
      <w:r>
        <w:t xml:space="preserve">                                                                                                   (Contd. of page 3)</w:t>
      </w:r>
    </w:p>
    <w:p>
      <w:r>
        <w:t xml:space="preserve">           Exposure controls</w:t>
      </w:r>
    </w:p>
    <w:p>
      <w:r>
        <w:t xml:space="preserve">             Personal protective equipment</w:t>
      </w:r>
    </w:p>
    <w:p>
      <w:r>
        <w:t xml:space="preserve">             General protective and hygienic measures:</w:t>
      </w:r>
    </w:p>
    <w:p>
      <w:r>
        <w:t xml:space="preserve">            The usual precautionary measures for handling chemicals should be followed.</w:t>
      </w:r>
    </w:p>
    <w:p>
      <w:r>
        <w:t xml:space="preserve">             Ensure good ventilation/exhaustion at the workplace.</w:t>
      </w:r>
    </w:p>
    <w:p>
      <w:r>
        <w:t xml:space="preserve">           Wash hands before breaks and at the end of work.</w:t>
      </w:r>
    </w:p>
    <w:p>
      <w:r>
        <w:t xml:space="preserve"/>
      </w:r>
    </w:p>
    <w:p>
      <w:r>
        <w:t xml:space="preserve">                  Do not eat, drink and smoke while working.</w:t>
      </w:r>
    </w:p>
    <w:p>
      <w:r>
        <w:t xml:space="preserve"/>
      </w:r>
    </w:p>
    <w:p>
      <w:r>
        <w:t xml:space="preserve"/>
      </w:r>
    </w:p>
    <w:p>
      <w:r>
        <w:t xml:space="preserve">             Breathing equipment:</w:t>
      </w:r>
    </w:p>
    <w:p>
      <w:r>
        <w:t xml:space="preserve">             Not anticipated for normal clinical environment. In non-routine exposure conditions, where risk assessment</w:t>
      </w:r>
    </w:p>
    <w:p>
      <w:r>
        <w:t xml:space="preserve">            shows air-purifying respirators are appropriate, use respirators and components tested and approved under</w:t>
      </w:r>
    </w:p>
    <w:p>
      <w:r>
        <w:t xml:space="preserve">               appropriate government standards such as NIOSH (US) or CEN (EU). Self-contained breathing apparatus</w:t>
      </w:r>
    </w:p>
    <w:p>
      <w:r>
        <w:t xml:space="preserve">              should be available for emergency use.</w:t>
      </w:r>
    </w:p>
    <w:p>
      <w:r>
        <w:t xml:space="preserve">              Protection of hands:</w:t>
      </w:r>
    </w:p>
    <w:p>
      <w:r>
        <w:t xml:space="preserve"/>
      </w:r>
    </w:p>
    <w:p>
      <w:r>
        <w:t xml:space="preserve">                          Protective gloves</w:t>
      </w:r>
    </w:p>
    <w:p>
      <w:r>
        <w:t xml:space="preserve"/>
      </w:r>
    </w:p>
    <w:p>
      <w:r>
        <w:t xml:space="preserve">            The glove material must be impermeable and resistant to the product/ the substance/ the preparation.</w:t>
      </w:r>
    </w:p>
    <w:p>
      <w:r>
        <w:t xml:space="preserve">           Due to missing tests no recommendation to the glove material can be given for the product/ the</w:t>
      </w:r>
    </w:p>
    <w:p>
      <w:r>
        <w:t xml:space="preserve">                preparation/ the chemical mixture.</w:t>
      </w:r>
    </w:p>
    <w:p>
      <w:r>
        <w:t xml:space="preserve">               Selection of the glove material on consideration of the penetration times, rates of diffusion and the</w:t>
      </w:r>
    </w:p>
    <w:p>
      <w:r>
        <w:t xml:space="preserve">              degradation</w:t>
      </w:r>
    </w:p>
    <w:p>
      <w:r>
        <w:t xml:space="preserve">               Material of gloves</w:t>
      </w:r>
    </w:p>
    <w:p>
      <w:r>
        <w:t xml:space="preserve">               Natural rubber, NR</w:t>
      </w:r>
    </w:p>
    <w:p>
      <w:r>
        <w:t xml:space="preserve">                   Nitrile rubber, NBR</w:t>
      </w:r>
    </w:p>
    <w:p>
      <w:r>
        <w:t xml:space="preserve">            The selection of the suitable gloves does not only depend on the material, but also on further marks of</w:t>
      </w:r>
    </w:p>
    <w:p>
      <w:r>
        <w:t xml:space="preserve">                 quality and varies from manufacturer to manufacturer. As the product is a preparation of several</w:t>
      </w:r>
    </w:p>
    <w:p>
      <w:r>
        <w:t xml:space="preserve">              substances, the resistance of the glove material can not be calculated in advance and has therefore to be</w:t>
      </w:r>
    </w:p>
    <w:p>
      <w:r>
        <w:t xml:space="preserve">             checked prior to the application.</w:t>
      </w:r>
    </w:p>
    <w:p>
      <w:r>
        <w:t xml:space="preserve">              Penetration time of glove material</w:t>
      </w:r>
    </w:p>
    <w:p>
      <w:r>
        <w:t xml:space="preserve">            The exact break through time has to be found out by the manufacturer of the protective gloves and has to</w:t>
      </w:r>
    </w:p>
    <w:p>
      <w:r>
        <w:t xml:space="preserve">            be observed.</w:t>
      </w:r>
    </w:p>
    <w:p>
      <w:r>
        <w:t xml:space="preserve">            Eye protection:</w:t>
      </w:r>
    </w:p>
    <w:p>
      <w:r>
        <w:t xml:space="preserve"/>
      </w:r>
    </w:p>
    <w:p>
      <w:r>
        <w:t xml:space="preserve">                           Tightly sealed goggles</w:t>
      </w:r>
    </w:p>
    <w:p>
      <w:r>
        <w:t xml:space="preserve"/>
      </w:r>
    </w:p>
    <w:p>
      <w:r>
        <w:t xml:space="preserve"/>
      </w:r>
    </w:p>
    <w:p>
      <w:r>
        <w:t xml:space="preserve">           Body protection: Protective work clothing</w:t>
      </w:r>
    </w:p>
    <w:p>
      <w:r>
        <w:t xml:space="preserve">          9 Physical and chemical properties</w:t>
      </w:r>
    </w:p>
    <w:p>
      <w:r>
        <w:t xml:space="preserve">            Information on basic physical and chemical properties</w:t>
      </w:r>
    </w:p>
    <w:p>
      <w:r>
        <w:t xml:space="preserve">             General Information</w:t>
      </w:r>
    </w:p>
    <w:p>
      <w:r>
        <w:t xml:space="preserve">             Appearance:</w:t>
      </w:r>
    </w:p>
    <w:p>
      <w:r>
        <w:t xml:space="preserve">              Form:                                   Liquid.</w:t>
      </w:r>
    </w:p>
    <w:p>
      <w:r>
        <w:t xml:space="preserve">                Color:                               Colorless - Slightly Yellow</w:t>
      </w:r>
    </w:p>
    <w:p>
      <w:r>
        <w:t xml:space="preserve">             Odor:                                  Undistinguishable</w:t>
      </w:r>
    </w:p>
    <w:p>
      <w:r>
        <w:t xml:space="preserve">                                                                                                  (Contd. on page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48.1.0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Page 5/9</w:t>
      </w:r>
    </w:p>
    <w:p>
      <w:r>
        <w:t xml:space="preserve">                                  Safety Data Sheet</w:t>
      </w:r>
    </w:p>
    <w:p>
      <w:r>
        <w:t xml:space="preserve">                                  According to OSHA HazCom Standard [2012]</w:t>
      </w:r>
    </w:p>
    <w:p>
      <w:r>
        <w:t xml:space="preserve">             Printing date 02/22/2019                        Version 4                     Reviewed on 02/22/2019</w:t>
      </w:r>
    </w:p>
    <w:p>
      <w:r>
        <w:t xml:space="preserve">         Trade name: ProHance</w:t>
      </w:r>
    </w:p>
    <w:p>
      <w:r>
        <w:t xml:space="preserve">                       Chemical Name: 10-(2-hydroxypropyl)-1,4,7,10-tetraazacyclododecane-1,4,7-triacetic acid,</w:t>
      </w:r>
    </w:p>
    <w:p>
      <w:r>
        <w:t xml:space="preserve">                       monogadolinium salt.</w:t>
      </w:r>
    </w:p>
    <w:p>
      <w:r>
        <w:t xml:space="preserve">                       Synonyms: Gadoteridol Injection</w:t>
      </w:r>
    </w:p>
    <w:p>
      <w:r>
        <w:t xml:space="preserve"/>
      </w:r>
    </w:p>
    <w:p>
      <w:r>
        <w:t xml:space="preserve">                                                                                                   (Contd. of page 4)</w:t>
      </w:r>
    </w:p>
    <w:p>
      <w:r>
        <w:t xml:space="preserve">            Odor threshold:                     Not determined.</w:t>
      </w:r>
    </w:p>
    <w:p>
      <w:r>
        <w:t xml:space="preserve">              pH-value:                              6.5 - 8.0</w:t>
      </w:r>
    </w:p>
    <w:p>
      <w:r>
        <w:t xml:space="preserve">              Melting point/Melting range:         ca 100 °C (~212 °F)</w:t>
      </w:r>
    </w:p>
    <w:p>
      <w:r>
        <w:t xml:space="preserve">              Boiling point/Boiling range:          ca 0 °C (~32 °F)</w:t>
      </w:r>
    </w:p>
    <w:p>
      <w:r>
        <w:t xml:space="preserve">             Flash point:                        Not determined.</w:t>
      </w:r>
    </w:p>
    <w:p>
      <w:r>
        <w:t xml:space="preserve">              Flammability (solid, gaseous):        Not applicable.</w:t>
      </w:r>
    </w:p>
    <w:p>
      <w:r>
        <w:t xml:space="preserve">               Ignition temperature:                Not determined.</w:t>
      </w:r>
    </w:p>
    <w:p>
      <w:r>
        <w:t xml:space="preserve">            Decomposition temperature:         Not determined.</w:t>
      </w:r>
    </w:p>
    <w:p>
      <w:r>
        <w:t xml:space="preserve">            Auto igniting:                        Product is not selfigniting.</w:t>
      </w:r>
    </w:p>
    <w:p>
      <w:r>
        <w:t xml:space="preserve">            Danger of explosion:                 Product does not present an explosion hazard.</w:t>
      </w:r>
    </w:p>
    <w:p>
      <w:r>
        <w:t xml:space="preserve">                                                 Not determined.</w:t>
      </w:r>
    </w:p>
    <w:p>
      <w:r>
        <w:t xml:space="preserve">              Flammability Limits:</w:t>
      </w:r>
    </w:p>
    <w:p>
      <w:r>
        <w:t xml:space="preserve">              Lower:                           Not Determined.</w:t>
      </w:r>
    </w:p>
    <w:p>
      <w:r>
        <w:t xml:space="preserve">              Upper:                            Not Determined.</w:t>
      </w:r>
    </w:p>
    <w:p>
      <w:r>
        <w:t xml:space="preserve">             Explosion limits:</w:t>
      </w:r>
    </w:p>
    <w:p>
      <w:r>
        <w:t xml:space="preserve">              Lower:                           Not determined.</w:t>
      </w:r>
    </w:p>
    <w:p>
      <w:r>
        <w:t xml:space="preserve">              Upper:                            Not determined.</w:t>
      </w:r>
    </w:p>
    <w:p>
      <w:r>
        <w:t xml:space="preserve">              Oxidizing properties                 Not determined.</w:t>
      </w:r>
    </w:p>
    <w:p>
      <w:r>
        <w:t xml:space="preserve">            Vapor pressure:                        Gadoteridol:</w:t>
      </w:r>
    </w:p>
    <w:p>
      <w:r>
        <w:t xml:space="preserve">                                         T = 26°C, P° &lt; 1.67 x 10-7 Torr</w:t>
      </w:r>
    </w:p>
    <w:p>
      <w:r>
        <w:t xml:space="preserve">              Density:                              (25 °C) 1.140 g/cm3</w:t>
      </w:r>
    </w:p>
    <w:p>
      <w:r>
        <w:t xml:space="preserve">             Bulk density:                         (25 °C) 1.140 g/cm3</w:t>
      </w:r>
    </w:p>
    <w:p>
      <w:r>
        <w:t xml:space="preserve">              Relative density                     Not determined.</w:t>
      </w:r>
    </w:p>
    <w:p>
      <w:r>
        <w:t xml:space="preserve">            Vapor density                       Not determined.</w:t>
      </w:r>
    </w:p>
    <w:p>
      <w:r>
        <w:t xml:space="preserve">             Evaporation rate                  䏌 as water</w:t>
      </w:r>
    </w:p>
    <w:p>
      <w:r>
        <w:t xml:space="preserve">               Solubility in / Miscibility with</w:t>
      </w:r>
    </w:p>
    <w:p>
      <w:r>
        <w:t xml:space="preserve">               Water:                            Not miscible or difficult to mix.</w:t>
      </w:r>
    </w:p>
    <w:p>
      <w:r>
        <w:t xml:space="preserve">               Partition coefficient (n-octanol/water): pH=7, logKow: -3.57 to -3.58</w:t>
      </w:r>
    </w:p>
    <w:p>
      <w:r>
        <w:t xml:space="preserve">                                               pH=9, logKow: -3.66 to -3.70</w:t>
      </w:r>
    </w:p>
    <w:p>
      <w:r>
        <w:t xml:space="preserve">               Viscosity:</w:t>
      </w:r>
    </w:p>
    <w:p>
      <w:r>
        <w:t xml:space="preserve">              Dynamic:                     T = 20 °C, η = 2.0 cP</w:t>
      </w:r>
    </w:p>
    <w:p>
      <w:r>
        <w:t xml:space="preserve">                                         T = 37 °C, η = 1.3 cP</w:t>
      </w:r>
    </w:p>
    <w:p>
      <w:r>
        <w:t xml:space="preserve">               Kinematic:                        Not determined.</w:t>
      </w:r>
    </w:p>
    <w:p>
      <w:r>
        <w:t xml:space="preserve">               Water:                              71.9 %</w:t>
      </w:r>
    </w:p>
    <w:p>
      <w:r>
        <w:t xml:space="preserve">           VOC content:                       0.00 %</w:t>
      </w:r>
    </w:p>
    <w:p>
      <w:r>
        <w:t xml:space="preserve">               Solids content:                      0.0 %</w:t>
      </w:r>
    </w:p>
    <w:p>
      <w:r>
        <w:t xml:space="preserve">            Other information              No further relevant information available.</w:t>
      </w:r>
    </w:p>
    <w:p>
      <w:r>
        <w:t xml:space="preserve">         10 Stability and reactivity</w:t>
      </w:r>
    </w:p>
    <w:p>
      <w:r>
        <w:t xml:space="preserve">             Reactivity</w:t>
      </w:r>
    </w:p>
    <w:p>
      <w:r>
        <w:t xml:space="preserve">           No data available.</w:t>
      </w:r>
    </w:p>
    <w:p>
      <w:r>
        <w:t xml:space="preserve">           No further relevant information available.</w:t>
      </w:r>
    </w:p>
    <w:p>
      <w:r>
        <w:t xml:space="preserve">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48.1.0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Page 6/9</w:t>
      </w:r>
    </w:p>
    <w:p>
      <w:r>
        <w:t xml:space="preserve">                                  Safety Data Sheet</w:t>
      </w:r>
    </w:p>
    <w:p>
      <w:r>
        <w:t xml:space="preserve">                                  According to OSHA HazCom Standard [2012]</w:t>
      </w:r>
    </w:p>
    <w:p>
      <w:r>
        <w:t xml:space="preserve">             Printing date 02/22/2019                        Version 4                     Reviewed on 02/22/2019</w:t>
      </w:r>
    </w:p>
    <w:p>
      <w:r>
        <w:t xml:space="preserve">         Trade name: ProHance</w:t>
      </w:r>
    </w:p>
    <w:p>
      <w:r>
        <w:t xml:space="preserve">                       Chemical Name: 10-(2-hydroxypropyl)-1,4,7,10-tetraazacyclododecane-1,4,7-triacetic acid,</w:t>
      </w:r>
    </w:p>
    <w:p>
      <w:r>
        <w:t xml:space="preserve">                       monogadolinium salt.</w:t>
      </w:r>
    </w:p>
    <w:p>
      <w:r>
        <w:t xml:space="preserve">                       Synonyms: Gadoteridol Injection</w:t>
      </w:r>
    </w:p>
    <w:p>
      <w:r>
        <w:t xml:space="preserve"/>
      </w:r>
    </w:p>
    <w:p>
      <w:r>
        <w:t xml:space="preserve">                                                                                                   (Contd. of page 5)</w:t>
      </w:r>
    </w:p>
    <w:p>
      <w:r>
        <w:t xml:space="preserve">            Chemical stability</w:t>
      </w:r>
    </w:p>
    <w:p>
      <w:r>
        <w:t xml:space="preserve">            Thermal decomposition / conditions to be avoided:</w:t>
      </w:r>
    </w:p>
    <w:p>
      <w:r>
        <w:t xml:space="preserve">           No decomposition if used according to specifications.</w:t>
      </w:r>
    </w:p>
    <w:p>
      <w:r>
        <w:t xml:space="preserve">              Possibility of hazardous reactions No dangerous reactions known.</w:t>
      </w:r>
    </w:p>
    <w:p>
      <w:r>
        <w:t xml:space="preserve">            Conditions to avoid No further relevant information available.</w:t>
      </w:r>
    </w:p>
    <w:p>
      <w:r>
        <w:t xml:space="preserve">            Incompatible materials: No further relevant information available.</w:t>
      </w:r>
    </w:p>
    <w:p>
      <w:r>
        <w:t xml:space="preserve">           Hazardous decomposition products: No dangerous decomposition products known.</w:t>
      </w:r>
    </w:p>
    <w:p>
      <w:r>
        <w:t xml:space="preserve">         11 Toxicological information</w:t>
      </w:r>
    </w:p>
    <w:p>
      <w:r>
        <w:t xml:space="preserve">            Information on toxicological effects</w:t>
      </w:r>
    </w:p>
    <w:p>
      <w:r>
        <w:t xml:space="preserve">             Acute toxicity:</w:t>
      </w:r>
    </w:p>
    <w:p>
      <w:r>
        <w:t xml:space="preserve">            LD/LC50 values that are relevant for classification:</w:t>
      </w:r>
    </w:p>
    <w:p>
      <w:r>
        <w:t xml:space="preserve">             120066-54-8 (±)-[10-(2-hydroxypropyl)-1,4,7,10-tetraazacyclododecane-1,4,7-triacetate (3 -)]</w:t>
      </w:r>
    </w:p>
    <w:p>
      <w:r>
        <w:t xml:space="preserve">                       Gadolinium</w:t>
      </w:r>
    </w:p>
    <w:p>
      <w:r>
        <w:t xml:space="preserve">                LD50 iv 7,598 mg/kg (Female Mouse)</w:t>
      </w:r>
    </w:p>
    <w:p>
      <w:r>
        <w:t xml:space="preserve">                           5,978 mg/kg (Male Mouse)</w:t>
      </w:r>
    </w:p>
    <w:p>
      <w:r>
        <w:t xml:space="preserve">                           3,906 mg/kg (Mouse)</w:t>
      </w:r>
    </w:p>
    <w:p>
      <w:r>
        <w:t xml:space="preserve">                           5,880 mg/kg (Rat)</w:t>
      </w:r>
    </w:p>
    <w:p>
      <w:r>
        <w:t xml:space="preserve">              77-86-1 trometamol</w:t>
      </w:r>
    </w:p>
    <w:p>
      <w:r>
        <w:t xml:space="preserve">               Oral LD50   5,900 mg/kg (Rat)</w:t>
      </w:r>
    </w:p>
    <w:p>
      <w:r>
        <w:t xml:space="preserve">             121915-83-1 Calcium Calteridol</w:t>
      </w:r>
    </w:p>
    <w:p>
      <w:r>
        <w:t xml:space="preserve">                LD50 iv 1,200 mg/kg (Mouse)</w:t>
      </w:r>
    </w:p>
    <w:p>
      <w:r>
        <w:t xml:space="preserve">             Primary irritant effect:</w:t>
      </w:r>
    </w:p>
    <w:p>
      <w:r>
        <w:t xml:space="preserve">           on the skin:</w:t>
      </w:r>
    </w:p>
    <w:p>
      <w:r>
        <w:t xml:space="preserve">           No irritant effect.</w:t>
      </w:r>
    </w:p>
    <w:p>
      <w:r>
        <w:t xml:space="preserve">                Material contains low concentration of components that are mild irritants or possible irritants. It may have</w:t>
      </w:r>
    </w:p>
    <w:p>
      <w:r>
        <w:t xml:space="preserve">                 potential to cause mild irritation, however , moderate or severe irritation is not expected.</w:t>
      </w:r>
    </w:p>
    <w:p>
      <w:r>
        <w:t xml:space="preserve">           on the eye:</w:t>
      </w:r>
    </w:p>
    <w:p>
      <w:r>
        <w:t xml:space="preserve">           No irritating effect.</w:t>
      </w:r>
    </w:p>
    <w:p>
      <w:r>
        <w:t xml:space="preserve">           No irritation effects reported. However, the product should be considered as a potential irritant.</w:t>
      </w:r>
    </w:p>
    <w:p>
      <w:r>
        <w:t xml:space="preserve">               Sensitization:</w:t>
      </w:r>
    </w:p>
    <w:p>
      <w:r>
        <w:t xml:space="preserve">           No sensitizing effects known.</w:t>
      </w:r>
    </w:p>
    <w:p>
      <w:r>
        <w:t xml:space="preserve">            The product can cause inflammation in people allergic to gadolinium and its compounds.</w:t>
      </w:r>
    </w:p>
    <w:p>
      <w:r>
        <w:t xml:space="preserve">             Other information (about experimental toxicology):</w:t>
      </w:r>
    </w:p>
    <w:p>
      <w:r>
        <w:t xml:space="preserve">            By Inhalation: Inhaling small doses of aerosolized material would not be expected to result in symptoms.</w:t>
      </w:r>
    </w:p>
    <w:p>
      <w:r>
        <w:t xml:space="preserve"/>
      </w:r>
    </w:p>
    <w:p>
      <w:r>
        <w:t xml:space="preserve">            By Ingestion: Inadvertent ingestion of trace amounts of this material would not be expected to result in</w:t>
      </w:r>
    </w:p>
    <w:p>
      <w:r>
        <w:t xml:space="preserve">             symptoms.</w:t>
      </w:r>
    </w:p>
    <w:p>
      <w:r>
        <w:t xml:space="preserve"/>
      </w:r>
    </w:p>
    <w:p>
      <w:r>
        <w:t xml:space="preserve">           Germ Cell Mutagenicity: GADOTERIDOL has not demonstrated a genotoxic activity in reverse mutation</w:t>
      </w:r>
    </w:p>
    <w:p>
      <w:r>
        <w:t xml:space="preserve">                 test up performed using Salmonella bacteria T. and E. C., in a mutation assay on mouse lymphoma, in an</w:t>
      </w:r>
    </w:p>
    <w:p>
      <w:r>
        <w:t xml:space="preserve">                  in vitro cytogenetic assay measuring chromosomal aberrations in ovarian cells hamster, nor in the in vivo</w:t>
      </w:r>
    </w:p>
    <w:p>
      <w:r>
        <w:t xml:space="preserve">              micronucleus assay on mice at doses of 5 mmol / kg.</w:t>
      </w:r>
    </w:p>
    <w:p>
      <w:r>
        <w:t xml:space="preserve"/>
      </w:r>
    </w:p>
    <w:p>
      <w:r>
        <w:t xml:space="preserve">                Carcinogenicity: The GADOTERIDOL is not tested for carcinogenic properties.</w:t>
      </w:r>
    </w:p>
    <w:p>
      <w:r>
        <w:t xml:space="preserve"/>
      </w:r>
    </w:p>
    <w:p>
      <w:r>
        <w:t xml:space="preserve">              Reproductive Toxicity: The GADOTERIDOL didn't show teratogenic activity in rats when administered for</w:t>
      </w:r>
    </w:p>
    <w:p>
      <w:r>
        <w:t xml:space="preserve">              12-day gestation period at doses 20 times higher than recommended for Human. An increase in</w:t>
      </w:r>
    </w:p>
    <w:p>
      <w:r>
        <w:t xml:space="preserve">             spontaneous motor activity was observed in infants. At high doses, the product has caused maternal</w:t>
      </w:r>
    </w:p>
    <w:p>
      <w:r>
        <w:t xml:space="preserve">                  toxicity and there was an increase of postimplantation loss. In rabbits, There was no evidence of</w:t>
      </w:r>
    </w:p>
    <w:p>
      <w:r>
        <w:t xml:space="preserve">                                                                                                  (Contd. on page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48.1.0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Page 7/9</w:t>
      </w:r>
    </w:p>
    <w:p>
      <w:r>
        <w:t xml:space="preserve">                                  Safety Data Sheet</w:t>
      </w:r>
    </w:p>
    <w:p>
      <w:r>
        <w:t xml:space="preserve">                                  According to OSHA HazCom Standard [2012]</w:t>
      </w:r>
    </w:p>
    <w:p>
      <w:r>
        <w:t xml:space="preserve">             Printing date 02/22/2019                        Version 4                     Reviewed on 02/22/2019</w:t>
      </w:r>
    </w:p>
    <w:p>
      <w:r>
        <w:t xml:space="preserve">         Trade name: ProHance</w:t>
      </w:r>
    </w:p>
    <w:p>
      <w:r>
        <w:t xml:space="preserve">                       Chemical Name: 10-(2-hydroxypropyl)-1,4,7,10-tetraazacyclododecane-1,4,7-triacetic acid,</w:t>
      </w:r>
    </w:p>
    <w:p>
      <w:r>
        <w:t xml:space="preserve">                       monogadolinium salt.</w:t>
      </w:r>
    </w:p>
    <w:p>
      <w:r>
        <w:t xml:space="preserve">                       Synonyms: Gadoteridol Injection</w:t>
      </w:r>
    </w:p>
    <w:p>
      <w:r>
        <w:t xml:space="preserve"/>
      </w:r>
    </w:p>
    <w:p>
      <w:r>
        <w:t xml:space="preserve">                                                                                                   (Contd. of page 6)</w:t>
      </w:r>
    </w:p>
    <w:p>
      <w:r>
        <w:t xml:space="preserve">               teratogenic activity in rabbits at doses tested up to 1.5 mmol/kg or 840 mg/kg In rabbits, doses 20 times</w:t>
      </w:r>
    </w:p>
    <w:p>
      <w:r>
        <w:t xml:space="preserve">               higher than the maximum doses recommended for humans, and administered intravenously for 13 days</w:t>
      </w:r>
    </w:p>
    <w:p>
      <w:r>
        <w:t xml:space="preserve">               during gestation, have increased the incidence of miscarriages and premature births, while, there was no</w:t>
      </w:r>
    </w:p>
    <w:p>
      <w:r>
        <w:t xml:space="preserve">              evidence of reproductive effects in rats at doses up to 1.5 mmol/kg or 840 mg/kg.</w:t>
      </w:r>
    </w:p>
    <w:p>
      <w:r>
        <w:t xml:space="preserve"/>
      </w:r>
    </w:p>
    <w:p>
      <w:r>
        <w:t xml:space="preserve">             Subacute to Chronic Toxicity: Human data are not available. In studies with rats and dogs performed over a</w:t>
      </w:r>
    </w:p>
    <w:p>
      <w:r>
        <w:t xml:space="preserve">               period of one month to doses approximately 3 times higher than therapeutic effects were evident in kidney</w:t>
      </w:r>
    </w:p>
    <w:p>
      <w:r>
        <w:t xml:space="preserve">                (eg, vacuolation of renal tubular epithelium). These effects are reversible. The product does not is</w:t>
      </w:r>
    </w:p>
    <w:p>
      <w:r>
        <w:t xml:space="preserve">              mutagenic. Other health effects have not been fully evaluated.</w:t>
      </w:r>
    </w:p>
    <w:p>
      <w:r>
        <w:t xml:space="preserve">              Additional toxicological information:</w:t>
      </w:r>
    </w:p>
    <w:p>
      <w:r>
        <w:t xml:space="preserve">            The product is not subject to classification according to internally approved calculation methods for</w:t>
      </w:r>
    </w:p>
    <w:p>
      <w:r>
        <w:t xml:space="preserve">               preparations.</w:t>
      </w:r>
    </w:p>
    <w:p>
      <w:r>
        <w:t xml:space="preserve">          When used and handled according to specifications, the product does not have any harmful effects to our</w:t>
      </w:r>
    </w:p>
    <w:p>
      <w:r>
        <w:t xml:space="preserve">              experience and the information provided to us.</w:t>
      </w:r>
    </w:p>
    <w:p>
      <w:r>
        <w:t xml:space="preserve">          When this product is used clinically, patients with a history of renal or hepatic disease, seizure, asthma or</w:t>
      </w:r>
    </w:p>
    <w:p>
      <w:r>
        <w:t xml:space="preserve">                  allergic respiratory diseases, and pregnant or breast feeding women are asked to inform their physician of</w:t>
      </w:r>
    </w:p>
    <w:p>
      <w:r>
        <w:t xml:space="preserve">              these conditions. The GADOTERIDOL was classified by the FDA in the "Pregnancy Category C" because</w:t>
      </w:r>
    </w:p>
    <w:p>
      <w:r>
        <w:t xml:space="preserve">                 of the effects observed in animals treated with very high doses intravenously. We recommended the</w:t>
      </w:r>
    </w:p>
    <w:p>
      <w:r>
        <w:t xml:space="preserve">                  clinical use during pregnancy only when the benefit prevails over potential risk to the fetus. It must be borne</w:t>
      </w:r>
    </w:p>
    <w:p>
      <w:r>
        <w:t xml:space="preserve">                  in mind that the doses administered for medical reasons are much higher than those due to exposure in</w:t>
      </w:r>
    </w:p>
    <w:p>
      <w:r>
        <w:t xml:space="preserve">               the workplace.</w:t>
      </w:r>
    </w:p>
    <w:p>
      <w:r>
        <w:t xml:space="preserve">             Carcinogenic categories</w:t>
      </w:r>
    </w:p>
    <w:p>
      <w:r>
        <w:t xml:space="preserve">           IARC (International Agency for Research on Cancer)</w:t>
      </w:r>
    </w:p>
    <w:p>
      <w:r>
        <w:t xml:space="preserve">            None of the ingredients are listed.</w:t>
      </w:r>
    </w:p>
    <w:p>
      <w:r>
        <w:t xml:space="preserve">          NTP (National Toxicology Program)</w:t>
      </w:r>
    </w:p>
    <w:p>
      <w:r>
        <w:t xml:space="preserve">            None of the ingredients are listed.</w:t>
      </w:r>
    </w:p>
    <w:p>
      <w:r>
        <w:t xml:space="preserve">           OSHA-Ca (Occupational Safety &amp; Health Administration)</w:t>
      </w:r>
    </w:p>
    <w:p>
      <w:r>
        <w:t xml:space="preserve">            None of the ingredients are listed.</w:t>
      </w:r>
    </w:p>
    <w:p>
      <w:r>
        <w:t xml:space="preserve">         12 Ecological information</w:t>
      </w:r>
    </w:p>
    <w:p>
      <w:r>
        <w:t xml:space="preserve">             Toxicity</w:t>
      </w:r>
    </w:p>
    <w:p>
      <w:r>
        <w:t xml:space="preserve">             Aquatic toxicity:</w:t>
      </w:r>
    </w:p>
    <w:p>
      <w:r>
        <w:t xml:space="preserve">             120066-54-8 (±)-[10-(2-hydroxypropyl)-1,4,7,10-tetraazacyclododecane-1,4,7-triacetate (3 -)]</w:t>
      </w:r>
    </w:p>
    <w:p>
      <w:r>
        <w:t xml:space="preserve">                       Gadolinium</w:t>
      </w:r>
    </w:p>
    <w:p>
      <w:r>
        <w:t xml:space="preserve">             IC50  &gt;1,000 mg/L (Activated Sludge)</w:t>
      </w:r>
    </w:p>
    <w:p>
      <w:r>
        <w:t xml:space="preserve">           EC50 &gt;920 mg/L (Daphnia)</w:t>
      </w:r>
    </w:p>
    <w:p>
      <w:r>
        <w:t xml:space="preserve">            Persistence and degradability</w:t>
      </w:r>
    </w:p>
    <w:p>
      <w:r>
        <w:t xml:space="preserve">                  Half-life (hydrolysis: &lt; 10 % after 5-days at 50 degrees C at all pH levels tested; half-life determined to be</w:t>
      </w:r>
    </w:p>
    <w:p>
      <w:r>
        <w:t xml:space="preserve">               greater than 28 days.</w:t>
      </w:r>
    </w:p>
    <w:p>
      <w:r>
        <w:t xml:space="preserve">             Bioaccumulative potential No further relevant information available.</w:t>
      </w:r>
    </w:p>
    <w:p>
      <w:r>
        <w:t xml:space="preserve">               Mobility in soil No further relevant information available.</w:t>
      </w:r>
    </w:p>
    <w:p>
      <w:r>
        <w:t xml:space="preserve">             Additional ecological information</w:t>
      </w:r>
    </w:p>
    <w:p>
      <w:r>
        <w:t xml:space="preserve">             General notes:</w:t>
      </w:r>
    </w:p>
    <w:p>
      <w:r>
        <w:t xml:space="preserve">              Avoid transfer into the environment.</w:t>
      </w:r>
    </w:p>
    <w:p>
      <w:r>
        <w:t xml:space="preserve">             Water hazard class 1 (Self-assessment): slightly hazardous for water</w:t>
      </w:r>
    </w:p>
    <w:p>
      <w:r>
        <w:t xml:space="preserve">           Do not allow undiluted product or large quantities of it to reach ground water, water course or sewage</w:t>
      </w:r>
    </w:p>
    <w:p>
      <w:r>
        <w:t xml:space="preserve">              system.</w:t>
      </w:r>
    </w:p>
    <w:p>
      <w:r>
        <w:t xml:space="preserve">            Results of PBT and vPvB assessment</w:t>
      </w:r>
    </w:p>
    <w:p>
      <w:r>
        <w:t xml:space="preserve">            PBT: Not applicable.</w:t>
      </w:r>
    </w:p>
    <w:p>
      <w:r>
        <w:t xml:space="preserve">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48.1.0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Page 8/9</w:t>
      </w:r>
    </w:p>
    <w:p>
      <w:r>
        <w:t xml:space="preserve">                                  Safety Data Sheet</w:t>
      </w:r>
    </w:p>
    <w:p>
      <w:r>
        <w:t xml:space="preserve">                                  According to OSHA HazCom Standard [2012]</w:t>
      </w:r>
    </w:p>
    <w:p>
      <w:r>
        <w:t xml:space="preserve">             Printing date 02/22/2019                        Version 4                     Reviewed on 02/22/2019</w:t>
      </w:r>
    </w:p>
    <w:p>
      <w:r>
        <w:t xml:space="preserve">         Trade name: ProHance</w:t>
      </w:r>
    </w:p>
    <w:p>
      <w:r>
        <w:t xml:space="preserve">                       Chemical Name: 10-(2-hydroxypropyl)-1,4,7,10-tetraazacyclododecane-1,4,7-triacetic acid,</w:t>
      </w:r>
    </w:p>
    <w:p>
      <w:r>
        <w:t xml:space="preserve">                       monogadolinium salt.</w:t>
      </w:r>
    </w:p>
    <w:p>
      <w:r>
        <w:t xml:space="preserve">                       Synonyms: Gadoteridol Injection</w:t>
      </w:r>
    </w:p>
    <w:p>
      <w:r>
        <w:t xml:space="preserve"/>
      </w:r>
    </w:p>
    <w:p>
      <w:r>
        <w:t xml:space="preserve">                                                                                                   (Contd. of page 7)</w:t>
      </w:r>
    </w:p>
    <w:p>
      <w:r>
        <w:t xml:space="preserve">            vPvB: Not applicable.</w:t>
      </w:r>
    </w:p>
    <w:p>
      <w:r>
        <w:t xml:space="preserve">            Other adverse effects No further relevant information available.</w:t>
      </w:r>
    </w:p>
    <w:p>
      <w:r>
        <w:t xml:space="preserve">         13 Disposal considerations</w:t>
      </w:r>
    </w:p>
    <w:p>
      <w:r>
        <w:t xml:space="preserve">           Waste treatment methods</w:t>
      </w:r>
    </w:p>
    <w:p>
      <w:r>
        <w:t xml:space="preserve">            Recommendation:</w:t>
      </w:r>
    </w:p>
    <w:p>
      <w:r>
        <w:t xml:space="preserve">             Must not be disposed of together with household garbage. Do not allow product to reach sewage system.</w:t>
      </w:r>
    </w:p>
    <w:p>
      <w:r>
        <w:t xml:space="preserve">                Reutilise if possible or contact a waste processors for recycling or safe disposal.</w:t>
      </w:r>
    </w:p>
    <w:p>
      <w:r>
        <w:t xml:space="preserve">           Uncleaned packagings:</w:t>
      </w:r>
    </w:p>
    <w:p>
      <w:r>
        <w:t xml:space="preserve">            Recommendation:</w:t>
      </w:r>
    </w:p>
    <w:p>
      <w:r>
        <w:t xml:space="preserve">              Disposal must be made according to official regulations.</w:t>
      </w:r>
    </w:p>
    <w:p>
      <w:r>
        <w:t xml:space="preserve">             Packagings that cannot be cleansed are to be disposed of in the same manner as the product.</w:t>
      </w:r>
    </w:p>
    <w:p>
      <w:r>
        <w:t xml:space="preserve">         14 Transport information</w:t>
      </w:r>
    </w:p>
    <w:p>
      <w:r>
        <w:t xml:space="preserve">          UN-Number</w:t>
      </w:r>
    </w:p>
    <w:p>
      <w:r>
        <w:t xml:space="preserve">           DOT, ADR, ADN, IMDG, IATA                 Not applicable.</w:t>
      </w:r>
    </w:p>
    <w:p>
      <w:r>
        <w:t xml:space="preserve">         UN proper shipping name</w:t>
      </w:r>
    </w:p>
    <w:p>
      <w:r>
        <w:t xml:space="preserve">           DOT, ADR, ADN, IMDG, IATA                 Not applicable.</w:t>
      </w:r>
    </w:p>
    <w:p>
      <w:r>
        <w:t xml:space="preserve">            Transport hazard class(es)</w:t>
      </w:r>
    </w:p>
    <w:p>
      <w:r>
        <w:t xml:space="preserve">           DOT, ADR, ADN, IMDG, IATA</w:t>
      </w:r>
    </w:p>
    <w:p>
      <w:r>
        <w:t xml:space="preserve">             Class                                      Not applicable.</w:t>
      </w:r>
    </w:p>
    <w:p>
      <w:r>
        <w:t xml:space="preserve">           Packing group</w:t>
      </w:r>
    </w:p>
    <w:p>
      <w:r>
        <w:t xml:space="preserve">           DOT, ADR, IMDG, IATA                      Not applicable.</w:t>
      </w:r>
    </w:p>
    <w:p>
      <w:r>
        <w:t xml:space="preserve">            Environmental hazards:</w:t>
      </w:r>
    </w:p>
    <w:p>
      <w:r>
        <w:t xml:space="preserve">             Marine pollutant:                      No</w:t>
      </w:r>
    </w:p>
    <w:p>
      <w:r>
        <w:t xml:space="preserve">            Special precautions for user              Not applicable.</w:t>
      </w:r>
    </w:p>
    <w:p>
      <w:r>
        <w:t xml:space="preserve">            Transport in bulk according to Annex II of</w:t>
      </w:r>
    </w:p>
    <w:p>
      <w:r>
        <w:t xml:space="preserve">          MARPOL73/78 and the IBC Code          Not applicable.</w:t>
      </w:r>
    </w:p>
    <w:p>
      <w:r>
        <w:t xml:space="preserve">         15 Regulatory information</w:t>
      </w:r>
    </w:p>
    <w:p>
      <w:r>
        <w:t xml:space="preserve">             Safety, health and environmental regulations/legislation specific for the substance or</w:t>
      </w:r>
    </w:p>
    <w:p>
      <w:r>
        <w:t xml:space="preserve">            mixture</w:t>
      </w:r>
    </w:p>
    <w:p>
      <w:r>
        <w:t xml:space="preserve">             Sara</w:t>
      </w:r>
    </w:p>
    <w:p>
      <w:r>
        <w:t xml:space="preserve">             Section 355 (extremely hazardous substances):</w:t>
      </w:r>
    </w:p>
    <w:p>
      <w:r>
        <w:t xml:space="preserve">            None of the ingredients are listed.</w:t>
      </w:r>
    </w:p>
    <w:p>
      <w:r>
        <w:t xml:space="preserve">             Section 313 (Specific toxic chemical listings):</w:t>
      </w:r>
    </w:p>
    <w:p>
      <w:r>
        <w:t xml:space="preserve">            None of the ingredients is listed.</w:t>
      </w:r>
    </w:p>
    <w:p>
      <w:r>
        <w:t xml:space="preserve">              Proposition 65</w:t>
      </w:r>
    </w:p>
    <w:p>
      <w:r>
        <w:t xml:space="preserve">            Chemicals known to cause cancer:</w:t>
      </w:r>
    </w:p>
    <w:p>
      <w:r>
        <w:t xml:space="preserve">            None of the ingredients is listed.</w:t>
      </w:r>
    </w:p>
    <w:p>
      <w:r>
        <w:t xml:space="preserve">            Chemicals known to cause reproductive toxicity for females:</w:t>
      </w:r>
    </w:p>
    <w:p>
      <w:r>
        <w:t xml:space="preserve">            None of the ingredients are listed.</w:t>
      </w:r>
    </w:p>
    <w:p>
      <w:r>
        <w:t xml:space="preserve">            Chemicals known to cause reproductive toxicity for males:</w:t>
      </w:r>
    </w:p>
    <w:p>
      <w:r>
        <w:t xml:space="preserve">            None of the ingredients are listed.</w:t>
      </w:r>
    </w:p>
    <w:p>
      <w:r>
        <w:t xml:space="preserve">                                                                                                  (Contd. on page 9)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48.1.0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            Page 9/9</w:t>
      </w:r>
    </w:p>
    <w:p>
      <w:r>
        <w:t xml:space="preserve">                                  Safety Data Sheet</w:t>
      </w:r>
    </w:p>
    <w:p>
      <w:r>
        <w:t xml:space="preserve">                                  According to OSHA HazCom Standard [2012]</w:t>
      </w:r>
    </w:p>
    <w:p>
      <w:r>
        <w:t xml:space="preserve">             Printing date 02/22/2019                        Version 4                     Reviewed on 02/22/2019</w:t>
      </w:r>
    </w:p>
    <w:p>
      <w:r>
        <w:t xml:space="preserve">         Trade name: ProHance</w:t>
      </w:r>
    </w:p>
    <w:p>
      <w:r>
        <w:t xml:space="preserve">                       Chemical Name: 10-(2-hydroxypropyl)-1,4,7,10-tetraazacyclododecane-1,4,7-triacetic acid,</w:t>
      </w:r>
    </w:p>
    <w:p>
      <w:r>
        <w:t xml:space="preserve">                       monogadolinium salt.</w:t>
      </w:r>
    </w:p>
    <w:p>
      <w:r>
        <w:t xml:space="preserve">                       Synonyms: Gadoteridol Injection</w:t>
      </w:r>
    </w:p>
    <w:p>
      <w:r>
        <w:t xml:space="preserve"/>
      </w:r>
    </w:p>
    <w:p>
      <w:r>
        <w:t xml:space="preserve">                                                                                                   (Contd. of page 8)</w:t>
      </w:r>
    </w:p>
    <w:p>
      <w:r>
        <w:t xml:space="preserve">            Chemicals known to cause developmental toxicity:</w:t>
      </w:r>
    </w:p>
    <w:p>
      <w:r>
        <w:t xml:space="preserve">            None of the ingredients are listed.</w:t>
      </w:r>
    </w:p>
    <w:p>
      <w:r>
        <w:t xml:space="preserve">             Carcinogenic categories</w:t>
      </w:r>
    </w:p>
    <w:p>
      <w:r>
        <w:t xml:space="preserve">          EPA (Environmental Protection Agency)</w:t>
      </w:r>
    </w:p>
    <w:p>
      <w:r>
        <w:t xml:space="preserve">            None of the ingredients are listed.</w:t>
      </w:r>
    </w:p>
    <w:p>
      <w:r>
        <w:t xml:space="preserve">           TLV (Threshold Limit Value established by ACGIH)</w:t>
      </w:r>
    </w:p>
    <w:p>
      <w:r>
        <w:t xml:space="preserve">            None of the ingredients are listed.</w:t>
      </w:r>
    </w:p>
    <w:p>
      <w:r>
        <w:t xml:space="preserve">            NIOSH-Ca (National Institute for Occupational Safety and Health)</w:t>
      </w:r>
    </w:p>
    <w:p>
      <w:r>
        <w:t xml:space="preserve">            None of the ingredients are listed.</w:t>
      </w:r>
    </w:p>
    <w:p>
      <w:r>
        <w:t xml:space="preserve">          GHS label elements Not applicable.</w:t>
      </w:r>
    </w:p>
    <w:p>
      <w:r>
        <w:t xml:space="preserve">            Hazard pictograms Not applicable.</w:t>
      </w:r>
    </w:p>
    <w:p>
      <w:r>
        <w:t xml:space="preserve">              Signal word Not applicable.</w:t>
      </w:r>
    </w:p>
    <w:p>
      <w:r>
        <w:t xml:space="preserve">            Hazard statements Not applicable.</w:t>
      </w:r>
    </w:p>
    <w:p>
      <w:r>
        <w:t xml:space="preserve">         16 Other information</w:t>
      </w:r>
    </w:p>
    <w:p>
      <w:r>
        <w:t xml:space="preserve">               This information is based on our present knowledge. However, this shall not constitute a guarantee for any</w:t>
      </w:r>
    </w:p>
    <w:p>
      <w:r>
        <w:t xml:space="preserve">                 specific product features and shall not establish a legally valid contractual relationship.</w:t>
      </w:r>
    </w:p>
    <w:p>
      <w:r>
        <w:t xml:space="preserve">               Training Hints: All persons handling this product should be informed on the existence of the hazard, on any</w:t>
      </w:r>
    </w:p>
    <w:p>
      <w:r>
        <w:t xml:space="preserve">               possible risk they might be subjected to and about all required protective measures to prevent such a</w:t>
      </w:r>
    </w:p>
    <w:p>
      <w:r>
        <w:t xml:space="preserve">           damage or to reduce the exposition.</w:t>
      </w:r>
    </w:p>
    <w:p>
      <w:r>
        <w:t xml:space="preserve"/>
      </w:r>
    </w:p>
    <w:p>
      <w:r>
        <w:t xml:space="preserve">           WARNINGS: Diagnostic agents are intended for use under direction of a physician and/or under the</w:t>
      </w:r>
    </w:p>
    <w:p>
      <w:r>
        <w:t xml:space="preserve">               conditions of use described on the label and in the product’s package insert. As a general precaution,</w:t>
      </w:r>
    </w:p>
    <w:p>
      <w:r>
        <w:t xml:space="preserve">              personnel who handle drug substances should avoid contact (ingestion, inhalation, skin and eye contact)</w:t>
      </w:r>
    </w:p>
    <w:p>
      <w:r>
        <w:t xml:space="preserve">                with these substances.</w:t>
      </w:r>
    </w:p>
    <w:p>
      <w:r>
        <w:t xml:space="preserve">            Contact:</w:t>
      </w:r>
    </w:p>
    <w:p>
      <w:r>
        <w:t xml:space="preserve">             Bracco Diagnostics Inc.</w:t>
      </w:r>
    </w:p>
    <w:p>
      <w:r>
        <w:t xml:space="preserve">              P.O. Box 5225</w:t>
      </w:r>
    </w:p>
    <w:p>
      <w:r>
        <w:t xml:space="preserve">               Princeton, NJ 08543</w:t>
      </w:r>
    </w:p>
    <w:p>
      <w:r>
        <w:t xml:space="preserve">             Date of preparation / last revision 02/22/2019 / 1</w:t>
      </w:r>
    </w:p>
    <w:p>
      <w:r>
        <w:t xml:space="preserve">             Abbreviations and acronyms:</w:t>
      </w:r>
    </w:p>
    <w:p>
      <w:r>
        <w:t xml:space="preserve">                 RID: Règlement international concernant le transport des marchandises dangereuses par chemin de fer (Regulations Concerning</w:t>
      </w:r>
    </w:p>
    <w:p>
      <w:r>
        <w:t xml:space="preserve">                  the International Transport of Dangerous Goods by Rail)</w:t>
      </w:r>
    </w:p>
    <w:p>
      <w:r>
        <w:t xml:space="preserve">                ICAO: International Civil Aviation Organisation</w:t>
      </w:r>
    </w:p>
    <w:p>
      <w:r>
        <w:t xml:space="preserve">              ADR: Accord européen sur le transport des marchandises dangereuses par Route (European Agreement concerning the</w:t>
      </w:r>
    </w:p>
    <w:p>
      <w:r>
        <w:t xml:space="preserve">                    International Carriage of Dangerous Goods by Road)</w:t>
      </w:r>
    </w:p>
    <w:p>
      <w:r>
        <w:t xml:space="preserve">               IMDG: International Maritime Code for Dangerous Goods</w:t>
      </w:r>
    </w:p>
    <w:p>
      <w:r>
        <w:t xml:space="preserve">              DOT: US Department of Transportation</w:t>
      </w:r>
    </w:p>
    <w:p>
      <w:r>
        <w:t xml:space="preserve">                 IATA: International Air Transport Association</w:t>
      </w:r>
    </w:p>
    <w:p>
      <w:r>
        <w:t xml:space="preserve">               ACGIH: American Conference of Governmental Industrial Hygienists</w:t>
      </w:r>
    </w:p>
    <w:p>
      <w:r>
        <w:t xml:space="preserve">               EINECS: European Inventory of Existing Commercial Chemical Substances</w:t>
      </w:r>
    </w:p>
    <w:p>
      <w:r>
        <w:t xml:space="preserve">               ELINCS: European List of Notified Chemical Substances</w:t>
      </w:r>
    </w:p>
    <w:p>
      <w:r>
        <w:t xml:space="preserve">               CAS: Chemical Abstracts Service (division of the American Chemical Society)</w:t>
      </w:r>
    </w:p>
    <w:p>
      <w:r>
        <w:t xml:space="preserve">              NFPA: National Fire Protection Association (USA)</w:t>
      </w:r>
    </w:p>
    <w:p>
      <w:r>
        <w:t xml:space="preserve">               HMIS: Hazardous Materials Identification System (USA)</w:t>
      </w:r>
    </w:p>
    <w:p>
      <w:r>
        <w:t xml:space="preserve">              VOC: Volatile Organic Compounds (USA, EU)</w:t>
      </w:r>
    </w:p>
    <w:p>
      <w:r>
        <w:t xml:space="preserve">                LC50: Lethal concentration, 50 percent</w:t>
      </w:r>
    </w:p>
    <w:p>
      <w:r>
        <w:t xml:space="preserve">                LD50: Lethal dose, 50 percent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48.1.0</w:t>
      </w:r>
    </w:p>
    <w:sectPr>
      <w:pgSz w:w="11906" w:h="16838"/>
      <w:pgMar w:top="1134" w:right="1134" w:bottom="1134" w:left="1134"/>
    </w:sectPr>
  </w:body>
</w:document>
</file>