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SGGG (Gallium and Gadolinium Substituted Garnet) SDS</w:t>
      </w:r>
    </w:p>
    <w:p>
      <w:r>
        <w:t xml:space="preserve">Publisher: Saint-Gobain / Luxium Solutions</w:t>
      </w:r>
    </w:p>
    <w:p>
      <w:r>
        <w:t xml:space="preserve">Source: https://resds.com/document/sggg-gallium-and-gadolinium-substituted-garnet-sds-saint-gobain-luxium-en-0b1f925dbe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Page 1/10</w:t>
      </w:r>
    </w:p>
    <w:p>
      <w:r>
        <w:t xml:space="preserve">                                   Safety Data Sheet</w:t>
      </w:r>
    </w:p>
    <w:p>
      <w:r>
        <w:t xml:space="preserve">                                       according to 1907/2006/EC, Article 31</w:t>
      </w:r>
    </w:p>
    <w:p>
      <w:r>
        <w:t xml:space="preserve"/>
      </w:r>
    </w:p>
    <w:p>
      <w:r>
        <w:t xml:space="preserve"/>
      </w:r>
    </w:p>
    <w:p>
      <w:r>
        <w:t xml:space="preserve">       Printing date: 28.08.2018                        Version number 2                             Revision: 28.08.2018</w:t>
      </w:r>
    </w:p>
    <w:p>
      <w:r>
        <w:t xml:space="preserve"/>
      </w:r>
    </w:p>
    <w:p>
      <w:r>
        <w:t xml:space="preserve">      *  SECTION 1: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          1.1. Product identifier</w:t>
      </w:r>
    </w:p>
    <w:p>
      <w:r>
        <w:t xml:space="preserve"/>
      </w:r>
    </w:p>
    <w:p>
      <w:r>
        <w:t xml:space="preserve">        Trade name: SGGG (Gallium and Gadolinium Substituted Garnet)</w:t>
      </w:r>
    </w:p>
    <w:p>
      <w:r>
        <w:t xml:space="preserve">        Chemical Identification: (Gd,Ga)3(Ga,Zr,Mg)5O12</w:t>
      </w:r>
    </w:p>
    <w:p>
      <w:r>
        <w:t xml:space="preserve"/>
      </w:r>
    </w:p>
    <w:p>
      <w:r>
        <w:t xml:space="preserve"/>
      </w:r>
    </w:p>
    <w:p>
      <w:r>
        <w:t xml:space="preserve">          1.2. Relevant identified uses of the substance or mixture and uses advised against</w:t>
      </w:r>
    </w:p>
    <w:p>
      <w:r>
        <w:t xml:space="preserve">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Application of the substance / the mixture: Substrate for epitaxy</w:t>
      </w:r>
    </w:p>
    <w:p>
      <w:r>
        <w:t xml:space="preserve"/>
      </w:r>
    </w:p>
    <w:p>
      <w:r>
        <w:t xml:space="preserve"/>
      </w:r>
    </w:p>
    <w:p>
      <w:r>
        <w:t xml:space="preserve">        Uses advised against: Other uses than the identified uses indicated above.</w:t>
      </w:r>
    </w:p>
    <w:p>
      <w:r>
        <w:t xml:space="preserve"/>
      </w:r>
    </w:p>
    <w:p>
      <w:r>
        <w:t xml:space="preserve"/>
      </w:r>
    </w:p>
    <w:p>
      <w:r>
        <w:t xml:space="preserve">          1.3. Details of the supplier of the safety data sheet</w:t>
      </w:r>
    </w:p>
    <w:p>
      <w:r>
        <w:t xml:space="preserve"/>
      </w:r>
    </w:p>
    <w:p>
      <w:r>
        <w:t xml:space="preserve"/>
      </w:r>
    </w:p>
    <w:p>
      <w:r>
        <w:t xml:space="preserve">         Manufacturer/Supplier:</w:t>
      </w:r>
    </w:p>
    <w:p>
      <w:r>
        <w:t xml:space="preserve">         Saint-Gobain Cristaux &amp; Détecteurs</w:t>
      </w:r>
    </w:p>
    <w:p>
      <w:r>
        <w:t xml:space="preserve">         104, Route de Larchant</w:t>
      </w:r>
    </w:p>
    <w:p>
      <w:r>
        <w:t xml:space="preserve">        F-77140 Saint-Pierre-Les-Nemours</w:t>
      </w:r>
    </w:p>
    <w:p>
      <w:r>
        <w:t xml:space="preserve">         Telephone: 0033 (0) 1 64 45 10 10</w:t>
      </w:r>
    </w:p>
    <w:p>
      <w:r>
        <w:t xml:space="preserve">         Fax: 0033 (0) 1 64 45 10 01</w:t>
      </w:r>
    </w:p>
    <w:p>
      <w:r>
        <w:t xml:space="preserve"/>
      </w:r>
    </w:p>
    <w:p>
      <w:r>
        <w:t xml:space="preserve"/>
      </w:r>
    </w:p>
    <w:p>
      <w:r>
        <w:t xml:space="preserve">         Further information obtainable from: customer.service.SGCD@saint-gobain.com</w:t>
      </w:r>
    </w:p>
    <w:p>
      <w:r>
        <w:t xml:space="preserve"/>
      </w:r>
    </w:p>
    <w:p>
      <w:r>
        <w:t xml:space="preserve"/>
      </w:r>
    </w:p>
    <w:p>
      <w:r>
        <w:t xml:space="preserve">          1.4. Emergency telephone number</w:t>
      </w:r>
    </w:p>
    <w:p>
      <w:r>
        <w:t xml:space="preserve">         London, Medical toxicology information service (NHS)</w:t>
      </w:r>
    </w:p>
    <w:p>
      <w:r>
        <w:t xml:space="preserve">         Tel (24 hour): 020 7188 0300</w:t>
      </w:r>
    </w:p>
    <w:p>
      <w:r>
        <w:t xml:space="preserve"/>
      </w:r>
    </w:p>
    <w:p>
      <w:r>
        <w:t xml:space="preserve">      *  SECTION 2: Hazards identification</w:t>
      </w:r>
    </w:p>
    <w:p>
      <w:r>
        <w:t xml:space="preserve"/>
      </w:r>
    </w:p>
    <w:p>
      <w:r>
        <w:t xml:space="preserve"/>
      </w:r>
    </w:p>
    <w:p>
      <w:r>
        <w:t xml:space="preserve">          2.1. Classification of the substance or mixture</w:t>
      </w:r>
    </w:p>
    <w:p>
      <w:r>
        <w:t xml:space="preserve"/>
      </w:r>
    </w:p>
    <w:p>
      <w:r>
        <w:t xml:space="preserve"/>
      </w:r>
    </w:p>
    <w:p>
      <w:r>
        <w:t xml:space="preserve">          Classification according to Regulation (EC) No 1272/2008:</w:t>
      </w:r>
    </w:p>
    <w:p>
      <w:r>
        <w:t xml:space="preserve">        The substance is not classified, according to the CLP regulation.</w:t>
      </w:r>
    </w:p>
    <w:p>
      <w:r>
        <w:t xml:space="preserve"/>
      </w:r>
    </w:p>
    <w:p>
      <w:r>
        <w:t xml:space="preserve"/>
      </w:r>
    </w:p>
    <w:p>
      <w:r>
        <w:t xml:space="preserve">          2.2. Label elements</w:t>
      </w:r>
    </w:p>
    <w:p>
      <w:r>
        <w:t xml:space="preserve">          Labelling according to Regulation (EC) No 1272/2008: void</w:t>
      </w:r>
    </w:p>
    <w:p>
      <w:r>
        <w:t xml:space="preserve"/>
      </w:r>
    </w:p>
    <w:p>
      <w:r>
        <w:t xml:space="preserve"/>
      </w:r>
    </w:p>
    <w:p>
      <w:r>
        <w:t xml:space="preserve">        Hazard pictograms: void</w:t>
      </w:r>
    </w:p>
    <w:p>
      <w:r>
        <w:t xml:space="preserve"/>
      </w:r>
    </w:p>
    <w:p>
      <w:r>
        <w:t xml:space="preserve"/>
      </w:r>
    </w:p>
    <w:p>
      <w:r>
        <w:t xml:space="preserve">         Signal word: void</w:t>
      </w:r>
    </w:p>
    <w:p>
      <w:r>
        <w:t xml:space="preserve"/>
      </w:r>
    </w:p>
    <w:p>
      <w:r>
        <w:t xml:space="preserve"/>
      </w:r>
    </w:p>
    <w:p>
      <w:r>
        <w:t xml:space="preserve">        Hazard statements: void</w:t>
      </w:r>
    </w:p>
    <w:p>
      <w:r>
        <w:t xml:space="preserve">                                                                                                                   (Contd. on page 2)</w:t>
      </w:r>
    </w:p>
    <w:p>
      <w:r>
        <w:t xml:space="preserve"/>
      </w:r>
    </w:p>
    <w:p>
      <w:r>
        <w:t xml:space="preserve">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47.0.4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Page 2/10</w:t>
      </w:r>
    </w:p>
    <w:p>
      <w:r>
        <w:t xml:space="preserve">                                   Safety Data Sheet</w:t>
      </w:r>
    </w:p>
    <w:p>
      <w:r>
        <w:t xml:space="preserve">                                       according to 1907/2006/EC, Article 31</w:t>
      </w:r>
    </w:p>
    <w:p>
      <w:r>
        <w:t xml:space="preserve"/>
      </w:r>
    </w:p>
    <w:p>
      <w:r>
        <w:t xml:space="preserve"/>
      </w:r>
    </w:p>
    <w:p>
      <w:r>
        <w:t xml:space="preserve">       Printing date: 28.08.2018                        Version number 2                             Revision: 28.08.2018</w:t>
      </w:r>
    </w:p>
    <w:p>
      <w:r>
        <w:t xml:space="preserve"/>
      </w:r>
    </w:p>
    <w:p>
      <w:r>
        <w:t xml:space="preserve">     Trade name: SGGG (Gallium and Gadolinium Substituted Garnet)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2.3. Other hazards</w:t>
      </w:r>
    </w:p>
    <w:p>
      <w:r>
        <w:t xml:space="preserve">         Results of PBT and vPvB assessment: This substance does not meet the criteria for classification as PBT or vPvB.</w:t>
      </w:r>
    </w:p>
    <w:p>
      <w:r>
        <w:t xml:space="preserve"/>
      </w:r>
    </w:p>
    <w:p>
      <w:r>
        <w:t xml:space="preserve">      *  SECTION 3: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3.1. Substances</w:t>
      </w:r>
    </w:p>
    <w:p>
      <w:r>
        <w:t xml:space="preserve"/>
      </w:r>
    </w:p>
    <w:p>
      <w:r>
        <w:t xml:space="preserve"/>
      </w:r>
    </w:p>
    <w:p>
      <w:r>
        <w:t xml:space="preserve">      CAS No. Description</w:t>
      </w:r>
    </w:p>
    <w:p>
      <w:r>
        <w:t xml:space="preserve">             - Substituted Gadolinium Gallium Garnet ((Gd,Ga)3(Ga,Zr,Mg)5O12)</w:t>
      </w:r>
    </w:p>
    <w:p>
      <w:r>
        <w:t xml:space="preserve"/>
      </w:r>
    </w:p>
    <w:p>
      <w:r>
        <w:t xml:space="preserve">      *  SECTION 4: First aid measures</w:t>
      </w:r>
    </w:p>
    <w:p>
      <w:r>
        <w:t xml:space="preserve"/>
      </w:r>
    </w:p>
    <w:p>
      <w:r>
        <w:t xml:space="preserve"/>
      </w:r>
    </w:p>
    <w:p>
      <w:r>
        <w:t xml:space="preserve">          4.1. Description of first aid measures</w:t>
      </w:r>
    </w:p>
    <w:p>
      <w:r>
        <w:t xml:space="preserve">         General information: No special measures required.</w:t>
      </w:r>
    </w:p>
    <w:p>
      <w:r>
        <w:t xml:space="preserve"/>
      </w:r>
    </w:p>
    <w:p>
      <w:r>
        <w:t xml:space="preserve"/>
      </w:r>
    </w:p>
    <w:p>
      <w:r>
        <w:t xml:space="preserve">          After inhalation: Supply fresh air; consult doctor in case of complaints.</w:t>
      </w:r>
    </w:p>
    <w:p>
      <w:r>
        <w:t xml:space="preserve"/>
      </w:r>
    </w:p>
    <w:p>
      <w:r>
        <w:t xml:space="preserve"/>
      </w:r>
    </w:p>
    <w:p>
      <w:r>
        <w:t xml:space="preserve">          After skin contact:</w:t>
      </w:r>
    </w:p>
    <w:p>
      <w:r>
        <w:t xml:space="preserve">        Brush off loose particles from skin.</w:t>
      </w:r>
    </w:p>
    <w:p>
      <w:r>
        <w:t xml:space="preserve">         Immediately wash with water and soap and rinse thoroughly.</w:t>
      </w:r>
    </w:p>
    <w:p>
      <w:r>
        <w:t xml:space="preserve">        Seek medical attention in case of problems or if problems persist.</w:t>
      </w:r>
    </w:p>
    <w:p>
      <w:r>
        <w:t xml:space="preserve"/>
      </w:r>
    </w:p>
    <w:p>
      <w:r>
        <w:t xml:space="preserve"/>
      </w:r>
    </w:p>
    <w:p>
      <w:r>
        <w:t xml:space="preserve">          After eye contact:</w:t>
      </w:r>
    </w:p>
    <w:p>
      <w:r>
        <w:t xml:space="preserve">         Rinse opened eye for several minutes under running water.</w:t>
      </w:r>
    </w:p>
    <w:p>
      <w:r>
        <w:t xml:space="preserve">       Remove contact lenses, if present and easy to do. Continue rinsing.</w:t>
      </w:r>
    </w:p>
    <w:p>
      <w:r>
        <w:t xml:space="preserve">        Seek medical attention in case of problems or if problems persist.</w:t>
      </w:r>
    </w:p>
    <w:p>
      <w:r>
        <w:t xml:space="preserve"/>
      </w:r>
    </w:p>
    <w:p>
      <w:r>
        <w:t xml:space="preserve"/>
      </w:r>
    </w:p>
    <w:p>
      <w:r>
        <w:t xml:space="preserve">          After swallowing:</w:t>
      </w:r>
    </w:p>
    <w:p>
      <w:r>
        <w:t xml:space="preserve">         Rinse mouth.</w:t>
      </w:r>
    </w:p>
    <w:p>
      <w:r>
        <w:t xml:space="preserve">       Do not induce vomiting; call for medical help immediately.</w:t>
      </w:r>
    </w:p>
    <w:p>
      <w:r>
        <w:t xml:space="preserve"/>
      </w:r>
    </w:p>
    <w:p>
      <w:r>
        <w:t xml:space="preserve"/>
      </w:r>
    </w:p>
    <w:p>
      <w:r>
        <w:t xml:space="preserve">          4.2. Most important symptoms and effects, both acute and delayed</w:t>
      </w:r>
    </w:p>
    <w:p>
      <w:r>
        <w:t xml:space="preserve"/>
      </w:r>
    </w:p>
    <w:p>
      <w:r>
        <w:t xml:space="preserve">        Sharp edges can cause cuts.</w:t>
      </w:r>
    </w:p>
    <w:p>
      <w:r>
        <w:t xml:space="preserve"/>
      </w:r>
    </w:p>
    <w:p>
      <w:r>
        <w:t xml:space="preserve"/>
      </w:r>
    </w:p>
    <w:p>
      <w:r>
        <w:t xml:space="preserve">          4.3. Indication of any immediate medical attention and special treatment needed</w:t>
      </w:r>
    </w:p>
    <w:p>
      <w:r>
        <w:t xml:space="preserve">           First Aid, decontamination, treatment of symptoms.</w:t>
      </w:r>
    </w:p>
    <w:p>
      <w:r>
        <w:t xml:space="preserve">                                                                                                                   (Contd. on page 3)</w:t>
      </w:r>
    </w:p>
    <w:p>
      <w:r>
        <w:t xml:space="preserve"/>
      </w:r>
    </w:p>
    <w:p>
      <w:r>
        <w:t xml:space="preserve">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47.0.4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Page 3/10</w:t>
      </w:r>
    </w:p>
    <w:p>
      <w:r>
        <w:t xml:space="preserve">                                   Safety Data Sheet</w:t>
      </w:r>
    </w:p>
    <w:p>
      <w:r>
        <w:t xml:space="preserve">                                       according to 1907/2006/EC, Article 31</w:t>
      </w:r>
    </w:p>
    <w:p>
      <w:r>
        <w:t xml:space="preserve"/>
      </w:r>
    </w:p>
    <w:p>
      <w:r>
        <w:t xml:space="preserve"/>
      </w:r>
    </w:p>
    <w:p>
      <w:r>
        <w:t xml:space="preserve">       Printing date: 28.08.2018                        Version number 2                             Revision: 28.08.2018</w:t>
      </w:r>
    </w:p>
    <w:p>
      <w:r>
        <w:t xml:space="preserve"/>
      </w:r>
    </w:p>
    <w:p>
      <w:r>
        <w:t xml:space="preserve">     Trade name: SGGG (Gallium and Gadolinium Substituted Garnet)</w:t>
      </w:r>
    </w:p>
    <w:p>
      <w:r>
        <w:t xml:space="preserve"/>
      </w:r>
    </w:p>
    <w:p>
      <w:r>
        <w:t xml:space="preserve"/>
      </w:r>
    </w:p>
    <w:p>
      <w:r>
        <w:t xml:space="preserve">      *  SECTION 5: Firefighting measures</w:t>
      </w:r>
    </w:p>
    <w:p>
      <w:r>
        <w:t xml:space="preserve"/>
      </w:r>
    </w:p>
    <w:p>
      <w:r>
        <w:t xml:space="preserve"/>
      </w:r>
    </w:p>
    <w:p>
      <w:r>
        <w:t xml:space="preserve">          5.1. Extinguishing media</w:t>
      </w:r>
    </w:p>
    <w:p>
      <w:r>
        <w:t xml:space="preserve">          Suitable extinguishing agents: Use fire extinguishing methods suitable to surrounding conditions.</w:t>
      </w:r>
    </w:p>
    <w:p>
      <w:r>
        <w:t xml:space="preserve"/>
      </w:r>
    </w:p>
    <w:p>
      <w:r>
        <w:t xml:space="preserve"/>
      </w:r>
    </w:p>
    <w:p>
      <w:r>
        <w:t xml:space="preserve">         For safety reasons unsuitable extinguishing agents: Water with full jet</w:t>
      </w:r>
    </w:p>
    <w:p>
      <w:r>
        <w:t xml:space="preserve"/>
      </w:r>
    </w:p>
    <w:p>
      <w:r>
        <w:t xml:space="preserve"/>
      </w:r>
    </w:p>
    <w:p>
      <w:r>
        <w:t xml:space="preserve">          5.2. Special hazards arising from the substance or mixture</w:t>
      </w:r>
    </w:p>
    <w:p>
      <w:r>
        <w:t xml:space="preserve">        The product is non flammable.</w:t>
      </w:r>
    </w:p>
    <w:p>
      <w:r>
        <w:t xml:space="preserve">        Does not present any particular risk in the event of fire.</w:t>
      </w:r>
    </w:p>
    <w:p>
      <w:r>
        <w:t xml:space="preserve"/>
      </w:r>
    </w:p>
    <w:p>
      <w:r>
        <w:t xml:space="preserve"/>
      </w:r>
    </w:p>
    <w:p>
      <w:r>
        <w:t xml:space="preserve">          5.3. Advice for firefighters</w:t>
      </w:r>
    </w:p>
    <w:p>
      <w:r>
        <w:t xml:space="preserve">          Protective equipment: Wear a self-contained breathing apparatus and chemical resistant suit.</w:t>
      </w:r>
    </w:p>
    <w:p>
      <w:r>
        <w:t xml:space="preserve"/>
      </w:r>
    </w:p>
    <w:p>
      <w:r>
        <w:t xml:space="preserve"/>
      </w:r>
    </w:p>
    <w:p>
      <w:r>
        <w:t xml:space="preserve">          Additional information: Move undamaged containers from immediate hazard area if it can be done safely.</w:t>
      </w:r>
    </w:p>
    <w:p>
      <w:r>
        <w:t xml:space="preserve"/>
      </w:r>
    </w:p>
    <w:p>
      <w:r>
        <w:t xml:space="preserve">      *  SECTION 6: Accidental release measures</w:t>
      </w:r>
    </w:p>
    <w:p>
      <w:r>
        <w:t xml:space="preserve"/>
      </w:r>
    </w:p>
    <w:p>
      <w:r>
        <w:t xml:space="preserve"/>
      </w:r>
    </w:p>
    <w:p>
      <w:r>
        <w:t xml:space="preserve">          6.1. Personal precautions, protective equipment and emergency procedures</w:t>
      </w:r>
    </w:p>
    <w:p>
      <w:r>
        <w:t xml:space="preserve">        Avoid formation of dust.</w:t>
      </w:r>
    </w:p>
    <w:p>
      <w:r>
        <w:t xml:space="preserve">        Ensure adequate ventilation.</w:t>
      </w:r>
    </w:p>
    <w:p>
      <w:r>
        <w:t xml:space="preserve">        Avoid contact with skin and eyes.</w:t>
      </w:r>
    </w:p>
    <w:p>
      <w:r>
        <w:t xml:space="preserve">       Wear personal protection equipment.</w:t>
      </w:r>
    </w:p>
    <w:p>
      <w:r>
        <w:t xml:space="preserve">       See section 8.</w:t>
      </w:r>
    </w:p>
    <w:p>
      <w:r>
        <w:t xml:space="preserve"/>
      </w:r>
    </w:p>
    <w:p>
      <w:r>
        <w:t xml:space="preserve"/>
      </w:r>
    </w:p>
    <w:p>
      <w:r>
        <w:t xml:space="preserve">          6.2. Environmental precautions Dumping into the environment must be prevented.</w:t>
      </w:r>
    </w:p>
    <w:p>
      <w:r>
        <w:t xml:space="preserve"/>
      </w:r>
    </w:p>
    <w:p>
      <w:r>
        <w:t xml:space="preserve"/>
      </w:r>
    </w:p>
    <w:p>
      <w:r>
        <w:t xml:space="preserve">          6.3. Methods and material for containment and cleaning up</w:t>
      </w:r>
    </w:p>
    <w:p>
      <w:r>
        <w:t xml:space="preserve">       Remove mechanically, placing in appropriate containers for disposal.</w:t>
      </w:r>
    </w:p>
    <w:p>
      <w:r>
        <w:t xml:space="preserve"/>
      </w:r>
    </w:p>
    <w:p>
      <w:r>
        <w:t xml:space="preserve"/>
      </w:r>
    </w:p>
    <w:p>
      <w:r>
        <w:t xml:space="preserve">          6.4. Reference to other sections</w:t>
      </w:r>
    </w:p>
    <w:p>
      <w:r>
        <w:t xml:space="preserve">       See Section 7 for information on safe handling.</w:t>
      </w:r>
    </w:p>
    <w:p>
      <w:r>
        <w:t xml:space="preserve">       See Section 8 for information on personal protection equipment.</w:t>
      </w:r>
    </w:p>
    <w:p>
      <w:r>
        <w:t xml:space="preserve">       See Section 13 for disposal information.</w:t>
      </w:r>
    </w:p>
    <w:p>
      <w:r>
        <w:t xml:space="preserve"/>
      </w:r>
    </w:p>
    <w:p>
      <w:r>
        <w:t xml:space="preserve">      *  SECTION 7: Handling and storage</w:t>
      </w:r>
    </w:p>
    <w:p>
      <w:r>
        <w:t xml:space="preserve"/>
      </w:r>
    </w:p>
    <w:p>
      <w:r>
        <w:t xml:space="preserve"/>
      </w:r>
    </w:p>
    <w:p>
      <w:r>
        <w:t xml:space="preserve">          7.1. Precautions for safe handling</w:t>
      </w:r>
    </w:p>
    <w:p>
      <w:r>
        <w:t xml:space="preserve">         Prevent formation of dust.</w:t>
      </w:r>
    </w:p>
    <w:p>
      <w:r>
        <w:t xml:space="preserve">        Ensure adequate ventilation.</w:t>
      </w:r>
    </w:p>
    <w:p>
      <w:r>
        <w:t xml:space="preserve">       Wear personal protective equipment. See section 8.</w:t>
      </w:r>
    </w:p>
    <w:p>
      <w:r>
        <w:t xml:space="preserve">                                                                                                                   (Contd. on page 4)</w:t>
      </w:r>
    </w:p>
    <w:p>
      <w:r>
        <w:t xml:space="preserve"/>
      </w:r>
    </w:p>
    <w:p>
      <w:r>
        <w:t xml:space="preserve">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47.0.4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Page 4/10</w:t>
      </w:r>
    </w:p>
    <w:p>
      <w:r>
        <w:t xml:space="preserve">                                   Safety Data Sheet</w:t>
      </w:r>
    </w:p>
    <w:p>
      <w:r>
        <w:t xml:space="preserve">                                       according to 1907/2006/EC, Article 31</w:t>
      </w:r>
    </w:p>
    <w:p>
      <w:r>
        <w:t xml:space="preserve"/>
      </w:r>
    </w:p>
    <w:p>
      <w:r>
        <w:t xml:space="preserve"/>
      </w:r>
    </w:p>
    <w:p>
      <w:r>
        <w:t xml:space="preserve">       Printing date: 28.08.2018                        Version number 2                             Revision: 28.08.2018</w:t>
      </w:r>
    </w:p>
    <w:p>
      <w:r>
        <w:t xml:space="preserve"/>
      </w:r>
    </w:p>
    <w:p>
      <w:r>
        <w:t xml:space="preserve">     Trade name: SGGG (Gallium and Gadolinium Substituted Garnet)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Information about fire - and explosion protection: Usual measures for fire prevention.</w:t>
      </w:r>
    </w:p>
    <w:p>
      <w:r>
        <w:t xml:space="preserve"/>
      </w:r>
    </w:p>
    <w:p>
      <w:r>
        <w:t xml:space="preserve"/>
      </w:r>
    </w:p>
    <w:p>
      <w:r>
        <w:t xml:space="preserve">          7.2. Conditions for safe storage, including any incompatibilities</w:t>
      </w:r>
    </w:p>
    <w:p>
      <w:r>
        <w:t xml:space="preserve"/>
      </w:r>
    </w:p>
    <w:p>
      <w:r>
        <w:t xml:space="preserve"/>
      </w:r>
    </w:p>
    <w:p>
      <w:r>
        <w:t xml:space="preserve">         Storage:</w:t>
      </w:r>
    </w:p>
    <w:p>
      <w:r>
        <w:t xml:space="preserve">        Requirements to be met by storerooms and receptacles:</w:t>
      </w:r>
    </w:p>
    <w:p>
      <w:r>
        <w:t xml:space="preserve">         Store only in the original container.</w:t>
      </w:r>
    </w:p>
    <w:p>
      <w:r>
        <w:t xml:space="preserve">        Keep container tightly closed in a well-ventilated place.</w:t>
      </w:r>
    </w:p>
    <w:p>
      <w:r>
        <w:t xml:space="preserve"/>
      </w:r>
    </w:p>
    <w:p>
      <w:r>
        <w:t xml:space="preserve"/>
      </w:r>
    </w:p>
    <w:p>
      <w:r>
        <w:t xml:space="preserve">         Information about storage in one common storage facility: Keep away from food, drink and animal feeding stuffs.</w:t>
      </w:r>
    </w:p>
    <w:p>
      <w:r>
        <w:t xml:space="preserve"/>
      </w:r>
    </w:p>
    <w:p>
      <w:r>
        <w:t xml:space="preserve"/>
      </w:r>
    </w:p>
    <w:p>
      <w:r>
        <w:t xml:space="preserve">         Further information about storage conditions:</w:t>
      </w:r>
    </w:p>
    <w:p>
      <w:r>
        <w:t xml:space="preserve">        Ensure that local, federal and national legislation on storage conditions are observed.</w:t>
      </w:r>
    </w:p>
    <w:p>
      <w:r>
        <w:t xml:space="preserve"/>
      </w:r>
    </w:p>
    <w:p>
      <w:r>
        <w:t xml:space="preserve"/>
      </w:r>
    </w:p>
    <w:p>
      <w:r>
        <w:t xml:space="preserve">         Storage class: 13 Incombustible solids (DE TRGS 510)</w:t>
      </w:r>
    </w:p>
    <w:p>
      <w:r>
        <w:t xml:space="preserve"/>
      </w:r>
    </w:p>
    <w:p>
      <w:r>
        <w:t xml:space="preserve"/>
      </w:r>
    </w:p>
    <w:p>
      <w:r>
        <w:t xml:space="preserve">          7.3. Specific end use(s) See section 1.</w:t>
      </w:r>
    </w:p>
    <w:p>
      <w:r>
        <w:t xml:space="preserve"/>
      </w:r>
    </w:p>
    <w:p>
      <w:r>
        <w:t xml:space="preserve">      *  SECTION 8: Exposure controls/personal protection</w:t>
      </w:r>
    </w:p>
    <w:p>
      <w:r>
        <w:t xml:space="preserve"/>
      </w:r>
    </w:p>
    <w:p>
      <w:r>
        <w:t xml:space="preserve"/>
      </w:r>
    </w:p>
    <w:p>
      <w:r>
        <w:t xml:space="preserve">          Additional information about design of technical facilities:</w:t>
      </w:r>
    </w:p>
    <w:p>
      <w:r>
        <w:t xml:space="preserve">         Technical measures and the application of adequate working methods take priority over the use of personal</w:t>
      </w:r>
    </w:p>
    <w:p>
      <w:r>
        <w:t xml:space="preserve">          protection equipment.</w:t>
      </w:r>
    </w:p>
    <w:p>
      <w:r>
        <w:t xml:space="preserve"/>
      </w:r>
    </w:p>
    <w:p>
      <w:r>
        <w:t xml:space="preserve"/>
      </w:r>
    </w:p>
    <w:p>
      <w:r>
        <w:t xml:space="preserve">          8.1. Control parameters</w:t>
      </w:r>
    </w:p>
    <w:p>
      <w:r>
        <w:t xml:space="preserve">          Ingredients with limit values that require monitoring at the workplace:</w:t>
      </w:r>
    </w:p>
    <w:p>
      <w:r>
        <w:t xml:space="preserve">         Dust, inhalable: WEL (UK): 10 mg/m³ (8h)</w:t>
      </w:r>
    </w:p>
    <w:p>
      <w:r>
        <w:t xml:space="preserve">         Dust, respirable: WEL (UK): 4 mg/m³ (8h)</w:t>
      </w:r>
    </w:p>
    <w:p>
      <w:r>
        <w:t xml:space="preserve">         Source: EH40/2005</w:t>
      </w:r>
    </w:p>
    <w:p>
      <w:r>
        <w:t xml:space="preserve"/>
      </w:r>
    </w:p>
    <w:p>
      <w:r>
        <w:t xml:space="preserve"/>
      </w:r>
    </w:p>
    <w:p>
      <w:r>
        <w:t xml:space="preserve">          Additional information: The lists valid during the making were used as basis.</w:t>
      </w:r>
    </w:p>
    <w:p>
      <w:r>
        <w:t xml:space="preserve"/>
      </w:r>
    </w:p>
    <w:p>
      <w:r>
        <w:t xml:space="preserve"/>
      </w:r>
    </w:p>
    <w:p>
      <w:r>
        <w:t xml:space="preserve">          8.2. Exposure controls</w:t>
      </w:r>
    </w:p>
    <w:p>
      <w:r>
        <w:t xml:space="preserve"/>
      </w:r>
    </w:p>
    <w:p>
      <w:r>
        <w:t xml:space="preserve"/>
      </w:r>
    </w:p>
    <w:p>
      <w:r>
        <w:t xml:space="preserve">         Personal protective equipment:</w:t>
      </w:r>
    </w:p>
    <w:p>
      <w:r>
        <w:t xml:space="preserve"/>
      </w:r>
    </w:p>
    <w:p>
      <w:r>
        <w:t xml:space="preserve"/>
      </w:r>
    </w:p>
    <w:p>
      <w:r>
        <w:t xml:space="preserve">         General protective and hygienic measures:</w:t>
      </w:r>
    </w:p>
    <w:p>
      <w:r>
        <w:t xml:space="preserve">        The usual precautionary measures are to be adhered to when handling chemicals.</w:t>
      </w:r>
    </w:p>
    <w:p>
      <w:r>
        <w:t xml:space="preserve">       Do not eat, drink, smoke or sniff while working.</w:t>
      </w:r>
    </w:p>
    <w:p>
      <w:r>
        <w:t xml:space="preserve">        Ensure adequate ventilation.</w:t>
      </w:r>
    </w:p>
    <w:p>
      <w:r>
        <w:t xml:space="preserve">       Be sure to clean skin thoroughly after work and before breaks.</w:t>
      </w:r>
    </w:p>
    <w:p>
      <w:r>
        <w:t xml:space="preserve">       Wear personal protection equipment.</w:t>
      </w:r>
    </w:p>
    <w:p>
      <w:r>
        <w:t xml:space="preserve">                                                                                                                   (Contd. on page 5)</w:t>
      </w:r>
    </w:p>
    <w:p>
      <w:r>
        <w:t xml:space="preserve"/>
      </w:r>
    </w:p>
    <w:p>
      <w:r>
        <w:t xml:space="preserve">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47.0.4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Page 5/10</w:t>
      </w:r>
    </w:p>
    <w:p>
      <w:r>
        <w:t xml:space="preserve">                                   Safety Data Sheet</w:t>
      </w:r>
    </w:p>
    <w:p>
      <w:r>
        <w:t xml:space="preserve">                                       according to 1907/2006/EC, Article 31</w:t>
      </w:r>
    </w:p>
    <w:p>
      <w:r>
        <w:t xml:space="preserve"/>
      </w:r>
    </w:p>
    <w:p>
      <w:r>
        <w:t xml:space="preserve"/>
      </w:r>
    </w:p>
    <w:p>
      <w:r>
        <w:t xml:space="preserve">       Printing date: 28.08.2018                        Version number 2                             Revision: 28.08.2018</w:t>
      </w:r>
    </w:p>
    <w:p>
      <w:r>
        <w:t xml:space="preserve"/>
      </w:r>
    </w:p>
    <w:p>
      <w:r>
        <w:t xml:space="preserve">     Trade name: SGGG (Gallium and Gadolinium Substituted Garnet)</w:t>
      </w:r>
    </w:p>
    <w:p>
      <w:r>
        <w:t xml:space="preserve"/>
      </w:r>
    </w:p>
    <w:p>
      <w:r>
        <w:t xml:space="preserve">        Avoid generation of dust.</w:t>
      </w:r>
    </w:p>
    <w:p>
      <w:r>
        <w:t xml:space="preserve"/>
      </w:r>
    </w:p>
    <w:p>
      <w:r>
        <w:t xml:space="preserve"/>
      </w:r>
    </w:p>
    <w:p>
      <w:r>
        <w:t xml:space="preserve">         Respiratory protection:</w:t>
      </w:r>
    </w:p>
    <w:p>
      <w:r>
        <w:t xml:space="preserve">          In case of unintended releases of dust or if technical suction or ventilation measures are not possible or are</w:t>
      </w:r>
    </w:p>
    <w:p>
      <w:r>
        <w:t xml:space="preserve">           insufficient, protective breathing apparatus must be worn.</w:t>
      </w:r>
    </w:p>
    <w:p>
      <w:r>
        <w:t xml:space="preserve">        The filter class must be suitable for the maximum contaminant concentration (gas/vapour/aerosol/particulates) that</w:t>
      </w:r>
    </w:p>
    <w:p>
      <w:r>
        <w:t xml:space="preserve">       may arise when handling the product. If the concentration is exceeded, a self-contained breathing apparatus must be</w:t>
      </w:r>
    </w:p>
    <w:p>
      <w:r>
        <w:t xml:space="preserve">         used!</w:t>
      </w:r>
    </w:p>
    <w:p>
      <w:r>
        <w:t xml:space="preserve">        Recommendation:</w:t>
      </w:r>
    </w:p>
    <w:p>
      <w:r>
        <w:t xml:space="preserve">         Dust mask, filter P3</w:t>
      </w:r>
    </w:p>
    <w:p>
      <w:r>
        <w:t xml:space="preserve"/>
      </w:r>
    </w:p>
    <w:p>
      <w:r>
        <w:t xml:space="preserve"/>
      </w:r>
    </w:p>
    <w:p>
      <w:r>
        <w:t xml:space="preserve">          Protection of hands:</w:t>
      </w:r>
    </w:p>
    <w:p>
      <w:r>
        <w:t xml:space="preserve">         Tested protective gloves are to be worn. When handling chemical substances, chemical protective gloves must be</w:t>
      </w:r>
    </w:p>
    <w:p>
      <w:r>
        <w:t xml:space="preserve">        worn with CE label including a four digit code. Type of chemical protective gloves to choose depends on the</w:t>
      </w:r>
    </w:p>
    <w:p>
      <w:r>
        <w:t xml:space="preserve">         concentration and quantity of dangerous substances as well as on work place specifications. In the cases of special</w:t>
      </w:r>
    </w:p>
    <w:p>
      <w:r>
        <w:t xml:space="preserve">          applications, it is recommended to check the chemical resistance with the manufacturer of the gloves.</w:t>
      </w:r>
    </w:p>
    <w:p>
      <w:r>
        <w:t xml:space="preserve">        The glove material has to be impermeable and resistant to the product/ the substance/ the preparation.</w:t>
      </w:r>
    </w:p>
    <w:p>
      <w:r>
        <w:t xml:space="preserve">          Material of gloves:</w:t>
      </w:r>
    </w:p>
    <w:p>
      <w:r>
        <w:t xml:space="preserve">        The selection of the suitable gloves does not only depend on the material, but also on further marks of quality and</w:t>
      </w:r>
    </w:p>
    <w:p>
      <w:r>
        <w:t xml:space="preserve">          varies from manufacturer to manufacturer.</w:t>
      </w:r>
    </w:p>
    <w:p>
      <w:r>
        <w:t xml:space="preserve">        Recommendation:</w:t>
      </w:r>
    </w:p>
    <w:p>
      <w:r>
        <w:t xml:space="preserve">            Nitrile rubber, NBR</w:t>
      </w:r>
    </w:p>
    <w:p>
      <w:r>
        <w:t xml:space="preserve">        (EN 374)</w:t>
      </w:r>
    </w:p>
    <w:p>
      <w:r>
        <w:t xml:space="preserve">               If necessary, wear protective gloves against mechanical risks (EN 388).</w:t>
      </w:r>
    </w:p>
    <w:p>
      <w:r>
        <w:t xml:space="preserve">         Penetration time of glove material:</w:t>
      </w:r>
    </w:p>
    <w:p>
      <w:r>
        <w:t xml:space="preserve">        The exact break through time has to be found out by the manufacturer of the protective gloves and has to be</w:t>
      </w:r>
    </w:p>
    <w:p>
      <w:r>
        <w:t xml:space="preserve">         observed.</w:t>
      </w:r>
    </w:p>
    <w:p>
      <w:r>
        <w:t xml:space="preserve"/>
      </w:r>
    </w:p>
    <w:p>
      <w:r>
        <w:t xml:space="preserve"/>
      </w:r>
    </w:p>
    <w:p>
      <w:r>
        <w:t xml:space="preserve">        Eye protection:</w:t>
      </w:r>
    </w:p>
    <w:p>
      <w:r>
        <w:t xml:space="preserve">         Selection of eye protection depends on the concentration and quantity of dangerous substances as well as on work</w:t>
      </w:r>
    </w:p>
    <w:p>
      <w:r>
        <w:t xml:space="preserve">         place specifications.</w:t>
      </w:r>
    </w:p>
    <w:p>
      <w:r>
        <w:t xml:space="preserve">        Recommendation:</w:t>
      </w:r>
    </w:p>
    <w:p>
      <w:r>
        <w:t xml:space="preserve">         Safety glasses with side shields</w:t>
      </w:r>
    </w:p>
    <w:p>
      <w:r>
        <w:t xml:space="preserve">        (EN 166)</w:t>
      </w:r>
    </w:p>
    <w:p>
      <w:r>
        <w:t xml:space="preserve"/>
      </w:r>
    </w:p>
    <w:p>
      <w:r>
        <w:t xml:space="preserve"/>
      </w:r>
    </w:p>
    <w:p>
      <w:r>
        <w:t xml:space="preserve">        Body protection: Protective work clothing</w:t>
      </w:r>
    </w:p>
    <w:p>
      <w:r>
        <w:t xml:space="preserve"/>
      </w:r>
    </w:p>
    <w:p>
      <w:r>
        <w:t xml:space="preserve"/>
      </w:r>
    </w:p>
    <w:p>
      <w:r>
        <w:t xml:space="preserve">          Limitation and supervision of exposure into the environment: Dumping into the environment must be prevented.</w:t>
      </w:r>
    </w:p>
    <w:p>
      <w:r>
        <w:t xml:space="preserve">                                                                                                                   (Contd. on page 6)</w:t>
      </w:r>
    </w:p>
    <w:p>
      <w:r>
        <w:t xml:space="preserve"/>
      </w:r>
    </w:p>
    <w:p>
      <w:r>
        <w:t xml:space="preserve">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47.0.4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Page 6/10</w:t>
      </w:r>
    </w:p>
    <w:p>
      <w:r>
        <w:t xml:space="preserve">                                   Safety Data Sheet</w:t>
      </w:r>
    </w:p>
    <w:p>
      <w:r>
        <w:t xml:space="preserve">                                       according to 1907/2006/EC, Article 31</w:t>
      </w:r>
    </w:p>
    <w:p>
      <w:r>
        <w:t xml:space="preserve"/>
      </w:r>
    </w:p>
    <w:p>
      <w:r>
        <w:t xml:space="preserve"/>
      </w:r>
    </w:p>
    <w:p>
      <w:r>
        <w:t xml:space="preserve">       Printing date: 28.08.2018                        Version number 2                             Revision: 28.08.2018</w:t>
      </w:r>
    </w:p>
    <w:p>
      <w:r>
        <w:t xml:space="preserve"/>
      </w:r>
    </w:p>
    <w:p>
      <w:r>
        <w:t xml:space="preserve">     Trade name: SGGG (Gallium and Gadolinium Substituted Garnet)</w:t>
      </w:r>
    </w:p>
    <w:p>
      <w:r>
        <w:t xml:space="preserve"/>
      </w:r>
    </w:p>
    <w:p>
      <w:r>
        <w:t xml:space="preserve"/>
      </w:r>
    </w:p>
    <w:p>
      <w:r>
        <w:t xml:space="preserve">      *  SECTION 9: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          9.1. Information on basic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         General Information</w:t>
      </w:r>
    </w:p>
    <w:p>
      <w:r>
        <w:t xml:space="preserve">         Appearance:</w:t>
      </w:r>
    </w:p>
    <w:p>
      <w:r>
        <w:t xml:space="preserve">          Form:                               Solid</w:t>
      </w:r>
    </w:p>
    <w:p>
      <w:r>
        <w:t xml:space="preserve">                                                   Crystalline</w:t>
      </w:r>
    </w:p>
    <w:p>
      <w:r>
        <w:t xml:space="preserve">           Colour:                            Colourless</w:t>
      </w:r>
    </w:p>
    <w:p>
      <w:r>
        <w:t xml:space="preserve">         Odour:                             Odourless</w:t>
      </w:r>
    </w:p>
    <w:p>
      <w:r>
        <w:t xml:space="preserve"/>
      </w:r>
    </w:p>
    <w:p>
      <w:r>
        <w:t xml:space="preserve"/>
      </w:r>
    </w:p>
    <w:p>
      <w:r>
        <w:t xml:space="preserve">         pH-value:                     No data available.</w:t>
      </w:r>
    </w:p>
    <w:p>
      <w:r>
        <w:t xml:space="preserve"/>
      </w:r>
    </w:p>
    <w:p>
      <w:r>
        <w:t xml:space="preserve"/>
      </w:r>
    </w:p>
    <w:p>
      <w:r>
        <w:t xml:space="preserve">        Change in condition</w:t>
      </w:r>
    </w:p>
    <w:p>
      <w:r>
        <w:t xml:space="preserve">           Melting point/freezing point:         1,750 °C</w:t>
      </w:r>
    </w:p>
    <w:p>
      <w:r>
        <w:t xml:space="preserve">               Initial boiling point and boiling range: Undetermined.</w:t>
      </w:r>
    </w:p>
    <w:p>
      <w:r>
        <w:t xml:space="preserve"/>
      </w:r>
    </w:p>
    <w:p>
      <w:r>
        <w:t xml:space="preserve"/>
      </w:r>
    </w:p>
    <w:p>
      <w:r>
        <w:t xml:space="preserve">         Flash point:                        Not applicable.</w:t>
      </w:r>
    </w:p>
    <w:p>
      <w:r>
        <w:t xml:space="preserve"/>
      </w:r>
    </w:p>
    <w:p>
      <w:r>
        <w:t xml:space="preserve"/>
      </w:r>
    </w:p>
    <w:p>
      <w:r>
        <w:t xml:space="preserve">         Flammability (solid, gas):             Product is not flammable.</w:t>
      </w:r>
    </w:p>
    <w:p>
      <w:r>
        <w:t xml:space="preserve"/>
      </w:r>
    </w:p>
    <w:p>
      <w:r>
        <w:t xml:space="preserve"/>
      </w:r>
    </w:p>
    <w:p>
      <w:r>
        <w:t xml:space="preserve">           Ignition temperature:                Not determined.</w:t>
      </w:r>
    </w:p>
    <w:p>
      <w:r>
        <w:t xml:space="preserve"/>
      </w:r>
    </w:p>
    <w:p>
      <w:r>
        <w:t xml:space="preserve"/>
      </w:r>
    </w:p>
    <w:p>
      <w:r>
        <w:t xml:space="preserve">         Decomposition temperature:         Not determined.</w:t>
      </w:r>
    </w:p>
    <w:p>
      <w:r>
        <w:t xml:space="preserve"/>
      </w:r>
    </w:p>
    <w:p>
      <w:r>
        <w:t xml:space="preserve"/>
      </w:r>
    </w:p>
    <w:p>
      <w:r>
        <w:t xml:space="preserve">          Auto-ignition temperature:         No data available.</w:t>
      </w:r>
    </w:p>
    <w:p>
      <w:r>
        <w:t xml:space="preserve"/>
      </w:r>
    </w:p>
    <w:p>
      <w:r>
        <w:t xml:space="preserve"/>
      </w:r>
    </w:p>
    <w:p>
      <w:r>
        <w:t xml:space="preserve">         Explosive properties:                 Product does not present an explosion hazard.</w:t>
      </w:r>
    </w:p>
    <w:p>
      <w:r>
        <w:t xml:space="preserve"/>
      </w:r>
    </w:p>
    <w:p>
      <w:r>
        <w:t xml:space="preserve"/>
      </w:r>
    </w:p>
    <w:p>
      <w:r>
        <w:t xml:space="preserve">        Vapour pressure:                   Not applicable.</w:t>
      </w:r>
    </w:p>
    <w:p>
      <w:r>
        <w:t xml:space="preserve"/>
      </w:r>
    </w:p>
    <w:p>
      <w:r>
        <w:t xml:space="preserve"/>
      </w:r>
    </w:p>
    <w:p>
      <w:r>
        <w:t xml:space="preserve">          Density:                              6.6 g/cm³</w:t>
      </w:r>
    </w:p>
    <w:p>
      <w:r>
        <w:t xml:space="preserve"/>
      </w:r>
    </w:p>
    <w:p>
      <w:r>
        <w:t xml:space="preserve"/>
      </w:r>
    </w:p>
    <w:p>
      <w:r>
        <w:t xml:space="preserve">           Solubility in / Miscibility with</w:t>
      </w:r>
    </w:p>
    <w:p>
      <w:r>
        <w:t xml:space="preserve">            water:                                 Insoluble.</w:t>
      </w:r>
    </w:p>
    <w:p>
      <w:r>
        <w:t xml:space="preserve"/>
      </w:r>
    </w:p>
    <w:p>
      <w:r>
        <w:t xml:space="preserve"/>
      </w:r>
    </w:p>
    <w:p>
      <w:r>
        <w:t xml:space="preserve">           Partition coefficient: n-octanol/water:  No data available.</w:t>
      </w:r>
    </w:p>
    <w:p>
      <w:r>
        <w:t xml:space="preserve"/>
      </w:r>
    </w:p>
    <w:p>
      <w:r>
        <w:t xml:space="preserve"/>
      </w:r>
    </w:p>
    <w:p>
      <w:r>
        <w:t xml:space="preserve">          9.2. Other information            No further relevant information available.</w:t>
      </w:r>
    </w:p>
    <w:p>
      <w:r>
        <w:t xml:space="preserve">                                                                                                                   (Contd. on page 7)</w:t>
      </w:r>
    </w:p>
    <w:p>
      <w:r>
        <w:t xml:space="preserve"/>
      </w:r>
    </w:p>
    <w:p>
      <w:r>
        <w:t xml:space="preserve">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47.0.4</w:t>
      </w:r>
    </w:p>
    <w:p>
      <w:r>
        <w:rPr>
          <w:b/>
        </w:rPr>
        <w:t xml:space="preserve">Page 7</w:t>
      </w:r>
    </w:p>
    <w:p>
      <w:r>
        <w:t xml:space="preserve">                                                                                          Page 7/10</w:t>
      </w:r>
    </w:p>
    <w:p>
      <w:r>
        <w:t xml:space="preserve">                                   Safety Data Sheet</w:t>
      </w:r>
    </w:p>
    <w:p>
      <w:r>
        <w:t xml:space="preserve">                                       according to 1907/2006/EC, Article 31</w:t>
      </w:r>
    </w:p>
    <w:p>
      <w:r>
        <w:t xml:space="preserve"/>
      </w:r>
    </w:p>
    <w:p>
      <w:r>
        <w:t xml:space="preserve"/>
      </w:r>
    </w:p>
    <w:p>
      <w:r>
        <w:t xml:space="preserve">       Printing date: 28.08.2018                        Version number 2                             Revision: 28.08.2018</w:t>
      </w:r>
    </w:p>
    <w:p>
      <w:r>
        <w:t xml:space="preserve"/>
      </w:r>
    </w:p>
    <w:p>
      <w:r>
        <w:t xml:space="preserve">     Trade name: SGGG (Gallium and Gadolinium Substituted Garnet)</w:t>
      </w:r>
    </w:p>
    <w:p>
      <w:r>
        <w:t xml:space="preserve"/>
      </w:r>
    </w:p>
    <w:p>
      <w:r>
        <w:t xml:space="preserve"/>
      </w:r>
    </w:p>
    <w:p>
      <w:r>
        <w:t xml:space="preserve">      *  SECTION 10: Stability and reactivity</w:t>
      </w:r>
    </w:p>
    <w:p>
      <w:r>
        <w:t xml:space="preserve"/>
      </w:r>
    </w:p>
    <w:p>
      <w:r>
        <w:t xml:space="preserve"/>
      </w:r>
    </w:p>
    <w:p>
      <w:r>
        <w:t xml:space="preserve">          10.1. Reactivity The product is stable under standard conditions (temperature, pressure) of storage and handling.</w:t>
      </w:r>
    </w:p>
    <w:p>
      <w:r>
        <w:t xml:space="preserve"/>
      </w:r>
    </w:p>
    <w:p>
      <w:r>
        <w:t xml:space="preserve"/>
      </w:r>
    </w:p>
    <w:p>
      <w:r>
        <w:t xml:space="preserve">          10.2. Chemical stability</w:t>
      </w:r>
    </w:p>
    <w:p>
      <w:r>
        <w:t xml:space="preserve">        The product is stable under standard conditions (temperature, pressure) of storage and handling.</w:t>
      </w:r>
    </w:p>
    <w:p>
      <w:r>
        <w:t xml:space="preserve"/>
      </w:r>
    </w:p>
    <w:p>
      <w:r>
        <w:t xml:space="preserve"/>
      </w:r>
    </w:p>
    <w:p>
      <w:r>
        <w:t xml:space="preserve">          10.3. Possibility of hazardous reactions No dangerous reactions known.</w:t>
      </w:r>
    </w:p>
    <w:p>
      <w:r>
        <w:t xml:space="preserve"/>
      </w:r>
    </w:p>
    <w:p>
      <w:r>
        <w:t xml:space="preserve"/>
      </w:r>
    </w:p>
    <w:p>
      <w:r>
        <w:t xml:space="preserve">          10.4. Conditions to avoid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10.5. Incompatible materials Acids</w:t>
      </w:r>
    </w:p>
    <w:p>
      <w:r>
        <w:t xml:space="preserve"/>
      </w:r>
    </w:p>
    <w:p>
      <w:r>
        <w:t xml:space="preserve"/>
      </w:r>
    </w:p>
    <w:p>
      <w:r>
        <w:t xml:space="preserve">          10.6. Hazardous decomposition products No data available.</w:t>
      </w:r>
    </w:p>
    <w:p>
      <w:r>
        <w:t xml:space="preserve"/>
      </w:r>
    </w:p>
    <w:p>
      <w:r>
        <w:t xml:space="preserve">      *  SECTION 11: Toxicological information</w:t>
      </w:r>
    </w:p>
    <w:p>
      <w:r>
        <w:t xml:space="preserve"/>
      </w:r>
    </w:p>
    <w:p>
      <w:r>
        <w:t xml:space="preserve"/>
      </w:r>
    </w:p>
    <w:p>
      <w:r>
        <w:t xml:space="preserve">          11.1. Information on toxicological effects</w:t>
      </w:r>
    </w:p>
    <w:p>
      <w:r>
        <w:t xml:space="preserve">        Acute toxicity: Based on available data, the classification criteria are not met.</w:t>
      </w:r>
    </w:p>
    <w:p>
      <w:r>
        <w:t xml:space="preserve">        LD/LC50 values:</w:t>
      </w:r>
    </w:p>
    <w:p>
      <w:r>
        <w:t xml:space="preserve">         Oral LD50 10,000 mg/kg (rat) (Gd2O3 data)</w:t>
      </w:r>
    </w:p>
    <w:p>
      <w:r>
        <w:t xml:space="preserve"/>
      </w:r>
    </w:p>
    <w:p>
      <w:r>
        <w:t xml:space="preserve"/>
      </w:r>
    </w:p>
    <w:p>
      <w:r>
        <w:t xml:space="preserve">         Primary irritant effect:</w:t>
      </w:r>
    </w:p>
    <w:p>
      <w:r>
        <w:t xml:space="preserve">         Skin corrosion/irritation: Based on available data, the classification criteria are not met.</w:t>
      </w:r>
    </w:p>
    <w:p>
      <w:r>
        <w:t xml:space="preserve">         Serious eye damage/irritation: Based on available data, the classification criteria are not met.</w:t>
      </w:r>
    </w:p>
    <w:p>
      <w:r>
        <w:t xml:space="preserve"/>
      </w:r>
    </w:p>
    <w:p>
      <w:r>
        <w:t xml:space="preserve"/>
      </w:r>
    </w:p>
    <w:p>
      <w:r>
        <w:t xml:space="preserve">         Respiratory or skin sensitisation: Based on available data, the classification criteria are not met.</w:t>
      </w:r>
    </w:p>
    <w:p>
      <w:r>
        <w:t xml:space="preserve"/>
      </w:r>
    </w:p>
    <w:p>
      <w:r>
        <w:t xml:space="preserve"/>
      </w:r>
    </w:p>
    <w:p>
      <w:r>
        <w:t xml:space="preserve">      CMR effects (carcinogenity, mutagenicity and toxicity for reproduction):</w:t>
      </w:r>
    </w:p>
    <w:p>
      <w:r>
        <w:t xml:space="preserve">       Germ cell mutagenicity: Based on available data, the classification criteria are not met.</w:t>
      </w:r>
    </w:p>
    <w:p>
      <w:r>
        <w:t xml:space="preserve">          Carcinogenicity: Based on available data, the classification criteria are not met.</w:t>
      </w:r>
    </w:p>
    <w:p>
      <w:r>
        <w:t xml:space="preserve">         Reproductive toxicity: Based on available data, the classification criteria are not met.</w:t>
      </w:r>
    </w:p>
    <w:p>
      <w:r>
        <w:t xml:space="preserve"/>
      </w:r>
    </w:p>
    <w:p>
      <w:r>
        <w:t xml:space="preserve"/>
      </w:r>
    </w:p>
    <w:p>
      <w:r>
        <w:t xml:space="preserve">        STOT-single exposure: Based on available data, the classification criteria are not met.</w:t>
      </w:r>
    </w:p>
    <w:p>
      <w:r>
        <w:t xml:space="preserve"/>
      </w:r>
    </w:p>
    <w:p>
      <w:r>
        <w:t xml:space="preserve"/>
      </w:r>
    </w:p>
    <w:p>
      <w:r>
        <w:t xml:space="preserve">        STOT-repeated exposure: Based on available data, the classification criteria are not met.</w:t>
      </w:r>
    </w:p>
    <w:p>
      <w:r>
        <w:t xml:space="preserve"/>
      </w:r>
    </w:p>
    <w:p>
      <w:r>
        <w:t xml:space="preserve"/>
      </w:r>
    </w:p>
    <w:p>
      <w:r>
        <w:t xml:space="preserve">          Aspiration hazard: Based on available data, the classification criteria are not met.</w:t>
      </w:r>
    </w:p>
    <w:p>
      <w:r>
        <w:t xml:space="preserve">                                                                                                                   (Contd. on page 8)</w:t>
      </w:r>
    </w:p>
    <w:p>
      <w:r>
        <w:t xml:space="preserve"/>
      </w:r>
    </w:p>
    <w:p>
      <w:r>
        <w:t xml:space="preserve">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47.0.4</w:t>
      </w:r>
    </w:p>
    <w:p>
      <w:r>
        <w:rPr>
          <w:b/>
        </w:rPr>
        <w:t xml:space="preserve">Page 8</w:t>
      </w:r>
    </w:p>
    <w:p>
      <w:r>
        <w:t xml:space="preserve">                                                                                          Page 8/10</w:t>
      </w:r>
    </w:p>
    <w:p>
      <w:r>
        <w:t xml:space="preserve">                                   Safety Data Sheet</w:t>
      </w:r>
    </w:p>
    <w:p>
      <w:r>
        <w:t xml:space="preserve">                                       according to 1907/2006/EC, Article 31</w:t>
      </w:r>
    </w:p>
    <w:p>
      <w:r>
        <w:t xml:space="preserve"/>
      </w:r>
    </w:p>
    <w:p>
      <w:r>
        <w:t xml:space="preserve"/>
      </w:r>
    </w:p>
    <w:p>
      <w:r>
        <w:t xml:space="preserve">       Printing date: 28.08.2018                        Version number 2                             Revision: 28.08.2018</w:t>
      </w:r>
    </w:p>
    <w:p>
      <w:r>
        <w:t xml:space="preserve"/>
      </w:r>
    </w:p>
    <w:p>
      <w:r>
        <w:t xml:space="preserve">     Trade name: SGGG (Gallium and Gadolinium Substituted Garnet)</w:t>
      </w:r>
    </w:p>
    <w:p>
      <w:r>
        <w:t xml:space="preserve"/>
      </w:r>
    </w:p>
    <w:p>
      <w:r>
        <w:t xml:space="preserve"/>
      </w:r>
    </w:p>
    <w:p>
      <w:r>
        <w:t xml:space="preserve">      *  SECTION 12: Ecological information</w:t>
      </w:r>
    </w:p>
    <w:p>
      <w:r>
        <w:t xml:space="preserve"/>
      </w:r>
    </w:p>
    <w:p>
      <w:r>
        <w:t xml:space="preserve"/>
      </w:r>
    </w:p>
    <w:p>
      <w:r>
        <w:t xml:space="preserve">          12.1. Toxicity</w:t>
      </w:r>
    </w:p>
    <w:p>
      <w:r>
        <w:t xml:space="preserve">         Aquatic toxicity: No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12.2. Persistence and degradability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12.3. Bioaccumulative potential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12.4. Mobility in soil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General notes: Do not allow product to reach ground water, water course or sewage system.</w:t>
      </w:r>
    </w:p>
    <w:p>
      <w:r>
        <w:t xml:space="preserve"/>
      </w:r>
    </w:p>
    <w:p>
      <w:r>
        <w:t xml:space="preserve"/>
      </w:r>
    </w:p>
    <w:p>
      <w:r>
        <w:t xml:space="preserve">          12.5. Results of PBT and vPvB assessment</w:t>
      </w:r>
    </w:p>
    <w:p>
      <w:r>
        <w:t xml:space="preserve">        PBT: Not applicable.</w:t>
      </w:r>
    </w:p>
    <w:p>
      <w:r>
        <w:t xml:space="preserve">        vPvB: Not applicable.</w:t>
      </w:r>
    </w:p>
    <w:p>
      <w:r>
        <w:t xml:space="preserve"/>
      </w:r>
    </w:p>
    <w:p>
      <w:r>
        <w:t xml:space="preserve"/>
      </w:r>
    </w:p>
    <w:p>
      <w:r>
        <w:t xml:space="preserve">          12.6. Other adverse effects No further relevant information available.</w:t>
      </w:r>
    </w:p>
    <w:p>
      <w:r>
        <w:t xml:space="preserve"/>
      </w:r>
    </w:p>
    <w:p>
      <w:r>
        <w:t xml:space="preserve">      *  SECTION 13: Disposal considerations</w:t>
      </w:r>
    </w:p>
    <w:p>
      <w:r>
        <w:t xml:space="preserve"/>
      </w:r>
    </w:p>
    <w:p>
      <w:r>
        <w:t xml:space="preserve"/>
      </w:r>
    </w:p>
    <w:p>
      <w:r>
        <w:t xml:space="preserve">          13.1. Waste treatment methods</w:t>
      </w:r>
    </w:p>
    <w:p>
      <w:r>
        <w:t xml:space="preserve">        Recommendation:</w:t>
      </w:r>
    </w:p>
    <w:p>
      <w:r>
        <w:t xml:space="preserve">        Waste disposal according to official state regulations.</w:t>
      </w:r>
    </w:p>
    <w:p>
      <w:r>
        <w:t xml:space="preserve">        Dumping into the environment must be prevented.</w:t>
      </w:r>
    </w:p>
    <w:p>
      <w:r>
        <w:t xml:space="preserve"/>
      </w:r>
    </w:p>
    <w:p>
      <w:r>
        <w:t xml:space="preserve"/>
      </w:r>
    </w:p>
    <w:p>
      <w:r>
        <w:t xml:space="preserve">        Uncleaned packaging:</w:t>
      </w:r>
    </w:p>
    <w:p>
      <w:r>
        <w:t xml:space="preserve">        Recommendation:</w:t>
      </w:r>
    </w:p>
    <w:p>
      <w:r>
        <w:t xml:space="preserve">        Empty contaminated packagings thoroughly. They may be recycled after thorough and proper cleaning.</w:t>
      </w:r>
    </w:p>
    <w:p>
      <w:r>
        <w:t xml:space="preserve">        Packagings that may not be cleansed are to be disposed of in the same manner as the product.</w:t>
      </w:r>
    </w:p>
    <w:p>
      <w:r>
        <w:t xml:space="preserve"/>
      </w:r>
    </w:p>
    <w:p>
      <w:r>
        <w:t xml:space="preserve">      *  SECTION 14: Transport information</w:t>
      </w:r>
    </w:p>
    <w:p>
      <w:r>
        <w:t xml:space="preserve"/>
      </w:r>
    </w:p>
    <w:p>
      <w:r>
        <w:t xml:space="preserve"/>
      </w:r>
    </w:p>
    <w:p>
      <w:r>
        <w:t xml:space="preserve">          14.1. UN-Number</w:t>
      </w:r>
    </w:p>
    <w:p>
      <w:r>
        <w:t xml:space="preserve">       ADR, ADN, IMDG, IATA                              Void.</w:t>
      </w:r>
    </w:p>
    <w:p>
      <w:r>
        <w:t xml:space="preserve"/>
      </w:r>
    </w:p>
    <w:p>
      <w:r>
        <w:t xml:space="preserve"/>
      </w:r>
    </w:p>
    <w:p>
      <w:r>
        <w:t xml:space="preserve">          14.2. UN proper shipping name</w:t>
      </w:r>
    </w:p>
    <w:p>
      <w:r>
        <w:t xml:space="preserve">       ADR, ADN, IMDG, IATA                              Void.</w:t>
      </w:r>
    </w:p>
    <w:p>
      <w:r>
        <w:t xml:space="preserve">                                                                                                                   (Contd. on page 9)</w:t>
      </w:r>
    </w:p>
    <w:p>
      <w:r>
        <w:t xml:space="preserve"/>
      </w:r>
    </w:p>
    <w:p>
      <w:r>
        <w:t xml:space="preserve">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47.0.4</w:t>
      </w:r>
    </w:p>
    <w:p>
      <w:r>
        <w:rPr>
          <w:b/>
        </w:rPr>
        <w:t xml:space="preserve">Page 9</w:t>
      </w:r>
    </w:p>
    <w:p>
      <w:r>
        <w:t xml:space="preserve">                                                                                          Page 9/10</w:t>
      </w:r>
    </w:p>
    <w:p>
      <w:r>
        <w:t xml:space="preserve">                                   Safety Data Sheet</w:t>
      </w:r>
    </w:p>
    <w:p>
      <w:r>
        <w:t xml:space="preserve">                                       according to 1907/2006/EC, Article 31</w:t>
      </w:r>
    </w:p>
    <w:p>
      <w:r>
        <w:t xml:space="preserve"/>
      </w:r>
    </w:p>
    <w:p>
      <w:r>
        <w:t xml:space="preserve"/>
      </w:r>
    </w:p>
    <w:p>
      <w:r>
        <w:t xml:space="preserve">       Printing date: 28.08.2018                        Version number 2                             Revision: 28.08.2018</w:t>
      </w:r>
    </w:p>
    <w:p>
      <w:r>
        <w:t xml:space="preserve"/>
      </w:r>
    </w:p>
    <w:p>
      <w:r>
        <w:t xml:space="preserve">     Trade name: SGGG (Gallium and Gadolinium Substituted Garnet)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14.3. Transport hazard class(es)</w:t>
      </w:r>
    </w:p>
    <w:p>
      <w:r>
        <w:t xml:space="preserve"/>
      </w:r>
    </w:p>
    <w:p>
      <w:r>
        <w:t xml:space="preserve"/>
      </w:r>
    </w:p>
    <w:p>
      <w:r>
        <w:t xml:space="preserve">       ADR, ADN, IMDG, IATA</w:t>
      </w:r>
    </w:p>
    <w:p>
      <w:r>
        <w:t xml:space="preserve">         Class                                                Void.</w:t>
      </w:r>
    </w:p>
    <w:p>
      <w:r>
        <w:t xml:space="preserve"/>
      </w:r>
    </w:p>
    <w:p>
      <w:r>
        <w:t xml:space="preserve"/>
      </w:r>
    </w:p>
    <w:p>
      <w:r>
        <w:t xml:space="preserve">          14.4. Packing group</w:t>
      </w:r>
    </w:p>
    <w:p>
      <w:r>
        <w:t xml:space="preserve">       ADR, IMDG, IATA                                    Void.</w:t>
      </w:r>
    </w:p>
    <w:p>
      <w:r>
        <w:t xml:space="preserve"/>
      </w:r>
    </w:p>
    <w:p>
      <w:r>
        <w:t xml:space="preserve"/>
      </w:r>
    </w:p>
    <w:p>
      <w:r>
        <w:t xml:space="preserve">          14.5. Environmental hazards                       Not applicable.</w:t>
      </w:r>
    </w:p>
    <w:p>
      <w:r>
        <w:t xml:space="preserve"/>
      </w:r>
    </w:p>
    <w:p>
      <w:r>
        <w:t xml:space="preserve"/>
      </w:r>
    </w:p>
    <w:p>
      <w:r>
        <w:t xml:space="preserve">          14.6. Special precautions for user                   Not applicable.</w:t>
      </w:r>
    </w:p>
    <w:p>
      <w:r>
        <w:t xml:space="preserve"/>
      </w:r>
    </w:p>
    <w:p>
      <w:r>
        <w:t xml:space="preserve"/>
      </w:r>
    </w:p>
    <w:p>
      <w:r>
        <w:t xml:space="preserve">          14.7. Transport in bulk according to Annex II of Marpol</w:t>
      </w:r>
    </w:p>
    <w:p>
      <w:r>
        <w:t xml:space="preserve">        and the IBC Code                                Not applicable.</w:t>
      </w:r>
    </w:p>
    <w:p>
      <w:r>
        <w:t xml:space="preserve"/>
      </w:r>
    </w:p>
    <w:p>
      <w:r>
        <w:t xml:space="preserve"/>
      </w:r>
    </w:p>
    <w:p>
      <w:r>
        <w:t xml:space="preserve">      UN "Model Regulation":                               Void.</w:t>
      </w:r>
    </w:p>
    <w:p>
      <w:r>
        <w:t xml:space="preserve"/>
      </w:r>
    </w:p>
    <w:p>
      <w:r>
        <w:t xml:space="preserve">      *  SECTION 15: Regulatory information</w:t>
      </w:r>
    </w:p>
    <w:p>
      <w:r>
        <w:t xml:space="preserve"/>
      </w:r>
    </w:p>
    <w:p>
      <w:r>
        <w:t xml:space="preserve"/>
      </w:r>
    </w:p>
    <w:p>
      <w:r>
        <w:t xml:space="preserve">          15.1. Safety, health and environmental regulations/legislation specific for the substance or mixture</w:t>
      </w:r>
    </w:p>
    <w:p>
      <w:r>
        <w:t xml:space="preserve"/>
      </w:r>
    </w:p>
    <w:p>
      <w:r>
        <w:t xml:space="preserve">         EU-Regulations</w:t>
      </w:r>
    </w:p>
    <w:p>
      <w:r>
        <w:t xml:space="preserve">         Regulation (EC) No 1907/2006 (REACH)</w:t>
      </w:r>
    </w:p>
    <w:p>
      <w:r>
        <w:t xml:space="preserve">         Regulation (EC) No 1272/2008 (CLP)</w:t>
      </w:r>
    </w:p>
    <w:p>
      <w:r>
        <w:t xml:space="preserve">         Regulation 98/24/EC (employee health protection)</w:t>
      </w:r>
    </w:p>
    <w:p>
      <w:r>
        <w:t xml:space="preserve"/>
      </w:r>
    </w:p>
    <w:p>
      <w:r>
        <w:t xml:space="preserve"/>
      </w:r>
    </w:p>
    <w:p>
      <w:r>
        <w:t xml:space="preserve">          Directive 2012/18/EU</w:t>
      </w:r>
    </w:p>
    <w:p>
      <w:r>
        <w:t xml:space="preserve">       Named dangerous substances - ANNEX I: Substance is not listed.</w:t>
      </w:r>
    </w:p>
    <w:p>
      <w:r>
        <w:t xml:space="preserve"/>
      </w:r>
    </w:p>
    <w:p>
      <w:r>
        <w:t xml:space="preserve"/>
      </w:r>
    </w:p>
    <w:p>
      <w:r>
        <w:t xml:space="preserve">          National regulations: National legislation has to be observed!</w:t>
      </w:r>
    </w:p>
    <w:p>
      <w:r>
        <w:t xml:space="preserve"/>
      </w:r>
    </w:p>
    <w:p>
      <w:r>
        <w:t xml:space="preserve"/>
      </w:r>
    </w:p>
    <w:p>
      <w:r>
        <w:t xml:space="preserve">         Information about limitation of use:</w:t>
      </w:r>
    </w:p>
    <w:p>
      <w:r>
        <w:t xml:space="preserve">        Employment restrictions concerning juveniles must be observed.</w:t>
      </w:r>
    </w:p>
    <w:p>
      <w:r>
        <w:t xml:space="preserve">        Employment restrictions concerning pregnant and lactating women must be observed.</w:t>
      </w:r>
    </w:p>
    <w:p>
      <w:r>
        <w:t xml:space="preserve">        Employment restrictions concerning women of child-bearing age must be observed.</w:t>
      </w:r>
    </w:p>
    <w:p>
      <w:r>
        <w:t xml:space="preserve"/>
      </w:r>
    </w:p>
    <w:p>
      <w:r>
        <w:t xml:space="preserve"/>
      </w:r>
    </w:p>
    <w:p>
      <w:r>
        <w:t xml:space="preserve">         Other regulations, limitations and prohibitive regulations: National legislation has to be observed!</w:t>
      </w:r>
    </w:p>
    <w:p>
      <w:r>
        <w:t xml:space="preserve"/>
      </w:r>
    </w:p>
    <w:p>
      <w:r>
        <w:t xml:space="preserve"/>
      </w:r>
    </w:p>
    <w:p>
      <w:r>
        <w:t xml:space="preserve">          15.2. Chemical safety assessment A Chemical Safety Assessment has not been carried out.</w:t>
      </w:r>
    </w:p>
    <w:p>
      <w:r>
        <w:t xml:space="preserve"/>
      </w:r>
    </w:p>
    <w:p>
      <w:r>
        <w:t xml:space="preserve">      *  SECTION 16: Other information</w:t>
      </w:r>
    </w:p>
    <w:p>
      <w:r>
        <w:t xml:space="preserve">        The above information describes exclusively the safety requirements of the product and is based on our present-day</w:t>
      </w:r>
    </w:p>
    <w:p>
      <w:r>
        <w:t xml:space="preserve">         knowledge. The information is intended to give you advice about the safe handling of the product named in this</w:t>
      </w:r>
    </w:p>
    <w:p>
      <w:r>
        <w:t xml:space="preserve">                                                                                                                  (Contd. on page 10)</w:t>
      </w:r>
    </w:p>
    <w:p>
      <w:r>
        <w:t xml:space="preserve"/>
      </w:r>
    </w:p>
    <w:p>
      <w:r>
        <w:t xml:space="preserve">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47.0.4</w:t>
      </w:r>
    </w:p>
    <w:p>
      <w:r>
        <w:rPr>
          <w:b/>
        </w:rPr>
        <w:t xml:space="preserve">Page 10</w:t>
      </w:r>
    </w:p>
    <w:p>
      <w:r>
        <w:t xml:space="preserve">                                                                                         Page 10/10</w:t>
      </w:r>
    </w:p>
    <w:p>
      <w:r>
        <w:t xml:space="preserve">                                   Safety Data Sheet</w:t>
      </w:r>
    </w:p>
    <w:p>
      <w:r>
        <w:t xml:space="preserve">                                       according to 1907/2006/EC, Article 31</w:t>
      </w:r>
    </w:p>
    <w:p>
      <w:r>
        <w:t xml:space="preserve"/>
      </w:r>
    </w:p>
    <w:p>
      <w:r>
        <w:t xml:space="preserve"/>
      </w:r>
    </w:p>
    <w:p>
      <w:r>
        <w:t xml:space="preserve">       Printing date: 28.08.2018                        Version number 2                             Revision: 28.08.2018</w:t>
      </w:r>
    </w:p>
    <w:p>
      <w:r>
        <w:t xml:space="preserve"/>
      </w:r>
    </w:p>
    <w:p>
      <w:r>
        <w:t xml:space="preserve">     Trade name: SGGG (Gallium and Gadolinium Substituted Garnet)</w:t>
      </w:r>
    </w:p>
    <w:p>
      <w:r>
        <w:t xml:space="preserve"/>
      </w:r>
    </w:p>
    <w:p>
      <w:r>
        <w:t xml:space="preserve">          safety data sheet, for storage, processing, transport and disposal. The information cannot be transferred to other</w:t>
      </w:r>
    </w:p>
    <w:p>
      <w:r>
        <w:t xml:space="preserve">          products. In the case of mixing the product with other products or in the case of processing, the information on this</w:t>
      </w:r>
    </w:p>
    <w:p>
      <w:r>
        <w:t xml:space="preserve">          safety data sheet is not necessarily valid for the new made-up material.</w:t>
      </w:r>
    </w:p>
    <w:p>
      <w:r>
        <w:t xml:space="preserve"/>
      </w:r>
    </w:p>
    <w:p>
      <w:r>
        <w:t xml:space="preserve"/>
      </w:r>
    </w:p>
    <w:p>
      <w:r>
        <w:t xml:space="preserve">          Training hints:</w:t>
      </w:r>
    </w:p>
    <w:p>
      <w:r>
        <w:t xml:space="preserve">        The product should only be handled by persons, who were informed sufficiently about the nature of the product and</w:t>
      </w:r>
    </w:p>
    <w:p>
      <w:r>
        <w:t xml:space="preserve">         about the necessary safety precautions.</w:t>
      </w:r>
    </w:p>
    <w:p>
      <w:r>
        <w:t xml:space="preserve"/>
      </w:r>
    </w:p>
    <w:p>
      <w:r>
        <w:t xml:space="preserve"/>
      </w:r>
    </w:p>
    <w:p>
      <w:r>
        <w:t xml:space="preserve">          Classification according to Regulation (EC) No 1272/2008</w:t>
      </w:r>
    </w:p>
    <w:p>
      <w:r>
        <w:t xml:space="preserve">        The classification of the mixture is generally based on the calculation method using substance data according to</w:t>
      </w:r>
    </w:p>
    <w:p>
      <w:r>
        <w:t xml:space="preserve">         Regulation (EC) No 1272/2008.</w:t>
      </w:r>
    </w:p>
    <w:p>
      <w:r>
        <w:t xml:space="preserve"/>
      </w:r>
    </w:p>
    <w:p>
      <w:r>
        <w:t xml:space="preserve"/>
      </w:r>
    </w:p>
    <w:p>
      <w:r>
        <w:t xml:space="preserve">         Abbreviations and acronyms:</w:t>
      </w:r>
    </w:p>
    <w:p>
      <w:r>
        <w:t xml:space="preserve">         ADR: Accord européen sur le transport des marchandises dangereuses par Route (European Agreement concerning the International Carriage of</w:t>
      </w:r>
    </w:p>
    <w:p>
      <w:r>
        <w:t xml:space="preserve">          Dangerous Goods by Road)</w:t>
      </w:r>
    </w:p>
    <w:p>
      <w:r>
        <w:t xml:space="preserve">          IMDG: International Maritime Code for Dangerous Goods</w:t>
      </w:r>
    </w:p>
    <w:p>
      <w:r>
        <w:t xml:space="preserve">           IATA: International Air Transport Association</w:t>
      </w:r>
    </w:p>
    <w:p>
      <w:r>
        <w:t xml:space="preserve">         GHS: Globally Harmonised System of Classification and Labelling of Chemicals</w:t>
      </w:r>
    </w:p>
    <w:p>
      <w:r>
        <w:t xml:space="preserve">         CAS: Chemical Abstracts Service (division of the American Chemical Society)</w:t>
      </w:r>
    </w:p>
    <w:p>
      <w:r>
        <w:t xml:space="preserve">          LC50: Lethal concentration, 50 percent</w:t>
      </w:r>
    </w:p>
    <w:p>
      <w:r>
        <w:t xml:space="preserve">          LD50: Lethal dose, 50 percent</w:t>
      </w:r>
    </w:p>
    <w:p>
      <w:r>
        <w:t xml:space="preserve">          PBT: Persistent, Bioaccumulative and Toxic</w:t>
      </w:r>
    </w:p>
    <w:p>
      <w:r>
        <w:t xml:space="preserve">           vPvB: very Persistent and very Bioaccumulative</w:t>
      </w:r>
    </w:p>
    <w:p>
      <w:r>
        <w:t xml:space="preserve"/>
      </w:r>
    </w:p>
    <w:p>
      <w:r>
        <w:t xml:space="preserve">         Sources: Data arise from reference works and literature.</w:t>
      </w:r>
    </w:p>
    <w:p>
      <w:r>
        <w:t xml:space="preserve"/>
      </w:r>
    </w:p>
    <w:p>
      <w:r>
        <w:t xml:space="preserve"/>
      </w:r>
    </w:p>
    <w:p>
      <w:r>
        <w:t xml:space="preserve">           * Data compared to the previous version altered.</w:t>
      </w:r>
    </w:p>
    <w:p>
      <w:r>
        <w:t xml:space="preserve"/>
      </w:r>
    </w:p>
    <w:p>
      <w:r>
        <w:t xml:space="preserve">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47.0.4</w:t>
      </w:r>
    </w:p>
    <w:sectPr>
      <w:pgSz w:w="11906" w:h="16838"/>
      <w:pgMar w:top="1134" w:right="1134" w:bottom="1134" w:left="1134"/>
    </w:sectPr>
  </w:body>
</w:document>
</file>