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powder (99.9% REO) 93-6515 SDS</w:t>
      </w:r>
    </w:p>
    <w:p>
      <w:r>
        <w:t xml:space="preserve">Publisher: Strem Chemicals, Inc.</w:t>
      </w:r>
    </w:p>
    <w:p>
      <w:r>
        <w:t xml:space="preserve">Source: https://resds.com/document/terbium-powder-99-9-reo-sds-strem-chemicals-fr-f776f97606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 powder (99.9% REO)</w:t>
      </w:r>
    </w:p>
    <w:p>
      <w:r>
        <w:t xml:space="preserve"/>
      </w:r>
    </w:p>
    <w:p>
      <w:r>
        <w:t xml:space="preserve">                                · Code du produit: 93-6515</w:t>
      </w:r>
    </w:p>
    <w:p>
      <w:r>
        <w:t xml:space="preserve">                                · No CAS:</w:t>
      </w:r>
    </w:p>
    <w:p>
      <w:r>
        <w:t xml:space="preserve">                  7440-27-9</w:t>
      </w:r>
    </w:p>
    <w:p>
      <w:r>
        <w:t xml:space="preserve">                                · Numéro CE:</w:t>
      </w:r>
    </w:p>
    <w:p>
      <w:r>
        <w:t xml:space="preserve">                  231-137-6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1 H228 Matière solide inflammable.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Mention d'avertissement Danger</w:t>
      </w:r>
    </w:p>
    <w:p>
      <w:r>
        <w:t xml:space="preserve">                                · Mentions de danger</w:t>
      </w:r>
    </w:p>
    <w:p>
      <w:r>
        <w:t xml:space="preserve">               H228 Matière solide inflammable.</w:t>
      </w:r>
    </w:p>
    <w:p>
      <w:r>
        <w:t xml:space="preserve">                                · Conseils de prudence</w:t>
      </w:r>
    </w:p>
    <w:p>
      <w:r>
        <w:t xml:space="preserve">                P101 En cas de consultation d'un médecin, garder à disposition le récipient ou l'étiquette.</w:t>
      </w:r>
    </w:p>
    <w:p>
      <w:r>
        <w:t xml:space="preserve">                P102 Tenir hors de portée des enfants.</w:t>
      </w:r>
    </w:p>
    <w:p>
      <w:r>
        <w:t xml:space="preserve">                P103 Lire l'étiquette avant utilisation.</w:t>
      </w:r>
    </w:p>
    <w:p>
      <w:r>
        <w:t xml:space="preserve">                P231 Manipuler sous gaz inerte.</w:t>
      </w:r>
    </w:p>
    <w:p>
      <w:r>
        <w:t xml:space="preserve">                P210 Tenir à l’écart de la chaleur, des surfaces chaudes, des étincelles, des flammes nues et de toute autre source</w:t>
      </w:r>
    </w:p>
    <w:p>
      <w:r>
        <w:t xml:space="preserve">                         d’inflammation. Ne pas fumer.</w:t>
      </w:r>
    </w:p>
    <w:p>
      <w:r>
        <w:t xml:space="preserve">                P222 Ne pas laisser au contact de l'air.</w:t>
      </w:r>
    </w:p>
    <w:p>
      <w:r>
        <w:t xml:space="preserve">                P280 Porter des gants de protection/des vêtements de protection/un équipement de protection des yeux/du visage.</w:t>
      </w:r>
    </w:p>
    <w:p>
      <w:r>
        <w:t xml:space="preserve">                P232 Protéger de l'humidité.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P501 Éliminer le contenu/récipient conformément à la réglementation locale/régionale/nationale/internationale.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7440-27-9 terbium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231-137-6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En règle générale, le produit n'irrite pas la peau.</w:t>
      </w:r>
    </w:p>
    <w:p>
      <w:r>
        <w:t xml:space="preserve">                                · Après contact avec les yeux:</w:t>
      </w:r>
    </w:p>
    <w:p>
      <w:r>
        <w:t xml:space="preserve">                   Rincer les yeux, sous l'eau courante, pendant plusieurs minutes, en écartant bien les paupières.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</w:t>
      </w:r>
    </w:p>
    <w:p>
      <w:r>
        <w:t xml:space="preserve">                   Porter un équipement de sécurité. Eloigner les personnes non protégées.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</w:t>
      </w:r>
    </w:p>
    <w:p>
      <w:r>
        <w:t xml:space="preserve">                   Tenir à l'abri des sources d'inflammation - ne pas fumer.</w:t>
      </w:r>
    </w:p>
    <w:p>
      <w:r>
        <w:t xml:space="preserve">                  Prendre des mesures contre les charges électrostatiques.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 Se laver les mains avant les pauses et en fin de travail.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  Gris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1,360 °C</w:t>
      </w:r>
    </w:p>
    <w:p>
      <w:r>
        <w:t xml:space="preserve">                     Point initial d'ébullition et intervalle d'ébullition: 3,041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   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Non déterminé.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8,234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UN3089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      3089 POUDRE MÉTALLIQUE INFLAMMABLE, N.S.A.</w:t>
      </w:r>
    </w:p>
    <w:p>
      <w:r>
        <w:t xml:space="preserve">                                · IMDG, IATA                           METAL POWDER, FLAMMABLE,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Classe                                        4</w:t>
      </w:r>
    </w:p>
    <w:p>
      <w:r>
        <w:t xml:space="preserve">                                · Étiquette                                             4.1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  4.1 Matières solides inflammables, matières</w:t>
      </w:r>
    </w:p>
    <w:p>
      <w:r>
        <w:t xml:space="preserve">                                                                      autoréactives et matières explosibles désensibilisées</w:t>
      </w:r>
    </w:p>
    <w:p>
      <w:r>
        <w:t xml:space="preserve">                                                                                  solides.</w:t>
      </w:r>
    </w:p>
    <w:p>
      <w:r>
        <w:t xml:space="preserve">                                · Label                                                 4.1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>                                · Segregation groups                         Heavy metals and their salts (including their</w:t>
      </w:r>
    </w:p>
    <w:p>
      <w:r>
        <w:t xml:space="preserve">                                                                       organometallic compounds), powdered metals</w:t>
      </w:r>
    </w:p>
    <w:p>
      <w:r>
        <w:t xml:space="preserve">                                · Stowage Category                         B</w:t>
      </w:r>
    </w:p>
    <w:p>
      <w:r>
        <w:t xml:space="preserve">                                · Handling Code                           H1 Keep as dry as reasonably practicable</w:t>
      </w:r>
    </w:p>
    <w:p>
      <w:r>
        <w:t xml:space="preserve">                                · Segregation Code                            SG17 Stow "separated from" class 5.1</w:t>
      </w:r>
    </w:p>
    <w:p>
      <w:r>
        <w:t xml:space="preserve">                                                        SG25 Stow "separated from" goods of classes 2.1 and 3.</w:t>
      </w:r>
    </w:p>
    <w:p>
      <w:r>
        <w:t xml:space="preserve">                                                       SG26 In addition: from goods of classes 2.1 and 3 when</w:t>
      </w:r>
    </w:p>
    <w:p>
      <w:r>
        <w:t xml:space="preserve">                                                                  stowed on deck of a containership a minimum distance</w:t>
      </w:r>
    </w:p>
    <w:p>
      <w:r>
        <w:t xml:space="preserve">                                                                        of two container spaces athwartship shall be</w:t>
      </w:r>
    </w:p>
    <w:p>
      <w:r>
        <w:t xml:space="preserve">                                                                       maintained, when stowed on ro-ro ships a distance of 6</w:t>
      </w:r>
    </w:p>
    <w:p>
      <w:r>
        <w:t xml:space="preserve">                                           m athwartship shall be maintained.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 1 kg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Quantités exceptées (EQ)                         Code: E2</w:t>
      </w:r>
    </w:p>
    <w:p>
      <w:r>
        <w:t xml:space="preserve">                                                                       Quantité maximale nette par emballage intérieur: 30 g</w:t>
      </w:r>
    </w:p>
    <w:p>
      <w:r>
        <w:t xml:space="preserve">                                                                       Quantité maximale nette par emballage extérieur: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   1 kg</w:t>
      </w:r>
    </w:p>
    <w:p>
      <w:r>
        <w:t xml:space="preserve">                                · Excepted quantities (EQ)                         Code: E2</w:t>
      </w:r>
    </w:p>
    <w:p>
      <w:r>
        <w:t xml:space="preserve">                                                      Maximum net quantity per inner packaging: 30 g</w:t>
      </w:r>
    </w:p>
    <w:p>
      <w:r>
        <w:t xml:space="preserve">    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"Règlement type" de l'ONU:               UN 3089 POUDRE MÉTALLIQUE INFLAMMABLE,</w:t>
      </w:r>
    </w:p>
    <w:p>
      <w:r>
        <w:t xml:space="preserve">                                                                              N.S.A., 4.1, 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Matières solides inflammables – Catégorie 1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