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Zinc-70 SDS</w:t>
      </w:r>
    </w:p>
    <w:p>
      <w:r>
        <w:t xml:space="preserve">Publisher: Neonest AB</w:t>
      </w:r>
    </w:p>
    <w:p>
      <w:r>
        <w:t xml:space="preserve">Source: https://resds.com/document/zinc-70-isotope-sds-zn-70-70zn-zinc-metal-powder-enriched-zinc-metal-powder-37a3793721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Metal Powder, Enriched Zinc. </w:t>
      </w:r>
    </w:p>
    <w:p>
      <w:r>
        <w:t xml:space="preserve">Molecular weight:   65.39 </w:t>
      </w:r>
    </w:p>
    <w:p>
      <w:r>
        <w:t xml:space="preserve">Chemical formula:   Zn </w:t>
      </w:r>
    </w:p>
    <w:p>
      <w:r>
        <w:t xml:space="preserve">Synonyms:   Blue powder, Granular zinc, LS 2, LS 6, Merrillite, Rheinzink, Zinc dust, Zinc powder.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P391 Collect spillage.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</w:t>
      </w:r>
    </w:p>
    <w:p>
      <w:r>
        <w:t xml:space="preserve">7440-66-6 </w:t>
      </w:r>
    </w:p>
    <w:p>
      <w:r>
        <w:t xml:space="preserve">65.39   &gt;99% </w:t>
      </w:r>
    </w:p>
    <w:p>
      <w:r>
        <w:t xml:space="preserve">Pyr. Sol. 1   H250 </w:t>
      </w:r>
    </w:p>
    <w:p>
      <w:r>
        <w:t xml:space="preserve">Water-react. 1   H260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231-175-3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</w:t>
      </w:r>
    </w:p>
    <w:p>
      <w:r>
        <w:rPr>
          <w:b/>
        </w:rPr>
        <w:t xml:space="preserve">Page 3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3/10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sand, clay, approved class D extinguishers. </w:t>
      </w:r>
    </w:p>
    <w:p>
      <w:r>
        <w:t xml:space="preserve">Unsuitable extinguishing media:   Water spray. </w:t>
      </w:r>
    </w:p>
    <w:p>
      <w:r>
        <w:t xml:space="preserve">Special hazards arising from the mixture:   Flammable. Fine dust dispersed in air may ignite. Pyrophoric: Spontaneously</w:t>
      </w:r>
    </w:p>
    <w:p>
      <w:r>
        <w:t xml:space="preserve">flammable in air. Water-reactive. Contact with water liberates extremely flammable gases. Thermal decomposition</w:t>
      </w:r>
    </w:p>
    <w:p>
      <w:r>
        <w:t xml:space="preserve">can lead to release of irritating gases and vapours. Keep product and empty container away from heat and sources of</w:t>
      </w:r>
    </w:p>
    <w:p>
      <w:r>
        <w:t xml:space="preserve">ignition.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Do not flush with water. Keep in</w:t>
      </w:r>
    </w:p>
    <w:p>
      <w:r>
        <w:t xml:space="preserve">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Further processing</w:t>
      </w:r>
    </w:p>
    <w:p>
      <w:r>
        <w:t xml:space="preserve">of solid materials may result in the formation of combustible dusts. Keep away from sources of ignition. Provide</w:t>
      </w:r>
    </w:p>
    <w:p>
      <w:r>
        <w:t xml:space="preserve">appropriate exhaust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 and well-</w:t>
      </w:r>
    </w:p>
    <w:p>
      <w:r>
        <w:t xml:space="preserve">ventilated place. </w:t>
      </w:r>
    </w:p>
    <w:p>
      <w:r>
        <w:t xml:space="preserve">Section 8: Exposure Controls/ Per 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only under a chemical fume hood. Ensure that eyewash stations and safety</w:t>
      </w:r>
    </w:p>
    <w:p>
      <w:r>
        <w:t xml:space="preserve">showers are close to the workstation location.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The selected protective gloves must satisfy the specifications of EU Directive 89/686/EEC and the</w:t>
      </w:r>
    </w:p>
    <w:p>
      <w:r>
        <w:t xml:space="preserve">standard EN 374 derived from it. Handle product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65.39 </w:t>
      </w:r>
    </w:p>
    <w:p>
      <w:r>
        <w:t xml:space="preserve">pH (concentration):   No data available. </w:t>
      </w:r>
    </w:p>
    <w:p>
      <w:r>
        <w:t xml:space="preserve">Melting point/range (° C):   419   °C </w:t>
      </w:r>
    </w:p>
    <w:p>
      <w:r>
        <w:t xml:space="preserve">Boiling point/range (° C):   907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7133 g/mL at 25 °C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During processing, dust may form explosive mixture in air.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5/10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Water-reactive, moisture-sensitive, air-sensitive, pyrophoric: spontaneously flammable in air.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sparks, moisture, dust formation . </w:t>
      </w:r>
    </w:p>
    <w:p>
      <w:r>
        <w:t xml:space="preserve">Incompatible materials:   Strong acids and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–   Cyprinus carpio   (carp)   –   450 ug/l   –   96 h </w:t>
      </w:r>
    </w:p>
    <w:p>
      <w:r>
        <w:t xml:space="preserve">Toxicity to Daphnia and Other Aquatic Invertebrates: LC 50   –   Daphnia magna   (water flea)   –   0.068 mg/l   –   48 h </w:t>
      </w:r>
    </w:p>
    <w:p>
      <w:r>
        <w:t xml:space="preserve">Mortality NOEC   –   Daphnia   (water flea) 0.101   –   0.14 mg/l   –   7 d</w:t>
      </w:r>
    </w:p>
    <w:p>
      <w:r>
        <w:rPr>
          <w:b/>
        </w:rPr>
        <w:t xml:space="preserve">Page 6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6/10 </w:t>
      </w:r>
    </w:p>
    <w:p>
      <w:r>
        <w:t xml:space="preserve">Persistence and degradability:   No data available. </w:t>
      </w:r>
    </w:p>
    <w:p>
      <w:r>
        <w:t xml:space="preserve">Bioaccumulative potential:   Bioaccumulation: Algae   –   7 d at 16 °C –   5 ug/l. Bioconcentration Factor (BCF): 466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Observe all local and national environmental regulations. Contact</w:t>
      </w:r>
    </w:p>
    <w:p>
      <w:r>
        <w:t xml:space="preserve">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TDG: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</w:t>
      </w:r>
    </w:p>
    <w:p>
      <w:r>
        <w:rPr>
          <w:b/>
        </w:rPr>
        <w:t xml:space="preserve">Page 7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7/10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8/10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311/312 Hazards </w:t>
      </w:r>
    </w:p>
    <w:p>
      <w:r>
        <w:t xml:space="preserve">Acute Health Hazard:   Yes. </w:t>
      </w:r>
    </w:p>
    <w:p>
      <w:r>
        <w:t xml:space="preserve">Chronic Health Hazard:   No. </w:t>
      </w:r>
    </w:p>
    <w:p>
      <w:r>
        <w:t xml:space="preserve">Fire Hazard:   Yes . </w:t>
      </w:r>
    </w:p>
    <w:p>
      <w:r>
        <w:t xml:space="preserve">Reactive Hazard:   Yes. </w:t>
      </w:r>
    </w:p>
    <w:p>
      <w:r>
        <w:t xml:space="preserve">Clean Water Act:   CWA-Toxic Pollutants: Listed </w:t>
      </w:r>
    </w:p>
    <w:p>
      <w:r>
        <w:t xml:space="preserve">Clean Air Act:   Not applicable. </w:t>
      </w:r>
    </w:p>
    <w:p>
      <w:r>
        <w:t xml:space="preserve">OSHA:   Not applicable. </w:t>
      </w:r>
    </w:p>
    <w:p>
      <w:r>
        <w:t xml:space="preserve">CERCLA:   This material contains one or more substances regulated as a hazardous substance under the Comprehensive</w:t>
      </w:r>
    </w:p>
    <w:p>
      <w:r>
        <w:t xml:space="preserve">Environmental Response Compensation and Liability Act (CERCLA) (40 CFR 302). </w:t>
      </w:r>
    </w:p>
    <w:p>
      <w:r>
        <w:t xml:space="preserve">Hazardous Substances RQs:   1000 lb </w:t>
      </w:r>
    </w:p>
    <w:p>
      <w:r>
        <w:t xml:space="preserve">Massachusetts Right to Know Components:   CAS No. 7440-66-6 </w:t>
      </w:r>
    </w:p>
    <w:p>
      <w:r>
        <w:t xml:space="preserve">Pennsylvania Right to Know Components:   CAS No. 7440-66-6 </w:t>
      </w:r>
    </w:p>
    <w:p>
      <w:r>
        <w:t xml:space="preserve">New Jersey Right to Know Components:   CAS No. 7440-66-6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U.S. Department of Transportation </w:t>
      </w:r>
    </w:p>
    <w:p>
      <w:r>
        <w:t xml:space="preserve">Reportable Quantity (RQ):   No. </w:t>
      </w:r>
    </w:p>
    <w:p>
      <w:r>
        <w:t xml:space="preserve">DOT Marine Pollutant:   No. </w:t>
      </w:r>
    </w:p>
    <w:p>
      <w:r>
        <w:t xml:space="preserve">DOT Severe Marine Pollutant:   No. </w:t>
      </w:r>
    </w:p>
    <w:p>
      <w:r>
        <w:t xml:space="preserve">U.S. Department of Homeland Security:   This product does not contain any DHS chemicals. </w:t>
      </w:r>
    </w:p>
    <w:p>
      <w:r>
        <w:t xml:space="preserve">Other International Regulations </w:t>
      </w:r>
    </w:p>
    <w:p>
      <w:r>
        <w:t xml:space="preserve">Canada:   This product has been classified in accordance with hazard criteria of the Controlled Products Regulations</w:t>
      </w:r>
    </w:p>
    <w:p>
      <w:r>
        <w:t xml:space="preserve">(CPR). </w:t>
      </w:r>
    </w:p>
    <w:p>
      <w:r>
        <w:t xml:space="preserve">WHMIS Hazard Class:   B6 Reactive flammable material.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9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9/10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10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10/10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