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Gadolinium SDS</w:t>
      </w:r>
    </w:p>
    <w:p>
      <w:r>
        <w:t xml:space="preserve">Publisher: CDH</w:t>
      </w:r>
    </w:p>
    <w:p>
      <w:r>
        <w:t xml:space="preserve">Source: https://resds.com/document/gadolinium-sds-en-1df11b0d43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        GADOLINIUM            MATERIAL SAFETY DATA SHEET</w:t>
      </w:r>
    </w:p>
    <w:p>
      <w:r>
        <w:t xml:space="preserve">       CAS No 7440-54-2                  SDS/MSDS</w:t>
      </w:r>
    </w:p>
    <w:p>
      <w:r>
        <w:t xml:space="preserve"/>
      </w:r>
    </w:p>
    <w:p>
      <w:r>
        <w:t xml:space="preserve"> SECTION 1: Identification of the substance/mixture and of the company/undertaking</w:t>
      </w:r>
    </w:p>
    <w:p>
      <w:r>
        <w:t xml:space="preserve"> 1.1   Product identifiers</w:t>
      </w:r>
    </w:p>
    <w:p>
      <w:r>
        <w:t xml:space="preserve">       Product name                        :                                    Gadolinium</w:t>
      </w:r>
    </w:p>
    <w:p>
      <w:r>
        <w:t xml:space="preserve"/>
      </w:r>
    </w:p>
    <w:p>
      <w:r>
        <w:t xml:space="preserve">      CAS-No.                                 :  7440-54-2</w:t>
      </w:r>
    </w:p>
    <w:p>
      <w:r>
        <w:t xml:space="preserve"> 1.2   Relevant identified uses of the substance or mixture and uses advised against</w:t>
      </w:r>
    </w:p>
    <w:p>
      <w:r>
        <w:t xml:space="preserve">         Identified uses                        :  Laboratory chemicals, Industrial &amp; for professional use only.</w:t>
      </w:r>
    </w:p>
    <w:p>
      <w:r>
        <w:t xml:space="preserve"> 1.3    Details of the supplier of the safety data sheet</w:t>
      </w:r>
    </w:p>
    <w:p>
      <w:r>
        <w:t xml:space="preserve">      Company                               :   Central Drug House (P) Ltd</w:t>
      </w:r>
    </w:p>
    <w:p>
      <w:r>
        <w:t xml:space="preserve">                                     7/28 Vardaan House</w:t>
      </w:r>
    </w:p>
    <w:p>
      <w:r>
        <w:t xml:space="preserve">                           New Delhi -110002</w:t>
      </w:r>
    </w:p>
    <w:p>
      <w:r>
        <w:t xml:space="preserve">                                  INDIA</w:t>
      </w:r>
    </w:p>
    <w:p>
      <w:r>
        <w:t xml:space="preserve">       Telephone                              :  +91 11 49404040</w:t>
      </w:r>
    </w:p>
    <w:p>
      <w:r>
        <w:t xml:space="preserve">       Email                                     :  care@cdhfinechemical.com</w:t>
      </w:r>
    </w:p>
    <w:p>
      <w:r>
        <w:t xml:space="preserve">1.4   Emergency telephone number</w:t>
      </w:r>
    </w:p>
    <w:p>
      <w:r>
        <w:t xml:space="preserve">      Emergency Phone #              :  +91 11 49404040 (9:00am - 6:00 pm) [Office hours]</w:t>
      </w:r>
    </w:p>
    <w:p>
      <w:r>
        <w:t xml:space="preserve"/>
      </w:r>
    </w:p>
    <w:p>
      <w:r>
        <w:t xml:space="preserve"> SECTION 2: Hazards identification</w:t>
      </w:r>
    </w:p>
    <w:p>
      <w:r>
        <w:t xml:space="preserve"/>
      </w:r>
    </w:p>
    <w:p>
      <w:r>
        <w:t xml:space="preserve"> 2.1    Classification of the substance or mixture</w:t>
      </w:r>
    </w:p>
    <w:p>
      <w:r>
        <w:t xml:space="preserve">        Classification according to Regulation (EC) No 1272/2008</w:t>
      </w:r>
    </w:p>
    <w:p>
      <w:r>
        <w:t xml:space="preserve">       Substances, which in contact with water, emit flammable gases (Category 3), H261</w:t>
      </w:r>
    </w:p>
    <w:p>
      <w:r>
        <w:t xml:space="preserve">       For the full text of the H-Statements mentioned in this Section, see Section 16.</w:t>
      </w:r>
    </w:p>
    <w:p>
      <w:r>
        <w:t xml:space="preserve"> 2.2   Label elements</w:t>
      </w:r>
    </w:p>
    <w:p>
      <w:r>
        <w:t xml:space="preserve">        Labelling according Regulation (EC) No 1272/2008</w:t>
      </w:r>
    </w:p>
    <w:p>
      <w:r>
        <w:t xml:space="preserve"/>
      </w:r>
    </w:p>
    <w:p>
      <w:r>
        <w:t xml:space="preserve">       Pictogram</w:t>
      </w:r>
    </w:p>
    <w:p>
      <w:r>
        <w:t xml:space="preserve"/>
      </w:r>
    </w:p>
    <w:p>
      <w:r>
        <w:t xml:space="preserve"/>
      </w:r>
    </w:p>
    <w:p>
      <w:r>
        <w:t xml:space="preserve">        Signal word                 Warning</w:t>
      </w:r>
    </w:p>
    <w:p>
      <w:r>
        <w:t xml:space="preserve">       Hazard statement(s)</w:t>
      </w:r>
    </w:p>
    <w:p>
      <w:r>
        <w:t xml:space="preserve">      H261                             In contact with water releases flammable gases.</w:t>
      </w:r>
    </w:p>
    <w:p>
      <w:r>
        <w:t xml:space="preserve">        Precautionary statement(s)</w:t>
      </w:r>
    </w:p>
    <w:p>
      <w:r>
        <w:t xml:space="preserve">      P231 + P232                Handle under inert gas. Protect from moisture.</w:t>
      </w:r>
    </w:p>
    <w:p>
      <w:r>
        <w:t xml:space="preserve">      P422                         Store contents under inert gas.</w:t>
      </w:r>
    </w:p>
    <w:p>
      <w:r>
        <w:t xml:space="preserve">       Supplemental Hazard         none</w:t>
      </w:r>
    </w:p>
    <w:p>
      <w:r>
        <w:t xml:space="preserve">        Statements</w:t>
      </w:r>
    </w:p>
    <w:p>
      <w:r>
        <w:t xml:space="preserve">  2.3   Other hazards - none</w:t>
      </w:r>
    </w:p>
    <w:p>
      <w:r>
        <w:t xml:space="preserve"/>
      </w:r>
    </w:p>
    <w:p>
      <w:r>
        <w:t xml:space="preserve">                                                                                                  Page 1 of 6</w:t>
      </w:r>
    </w:p>
    <w:p>
      <w:r>
        <w:rPr>
          <w:b/>
        </w:rPr>
        <w:t xml:space="preserve">Page 2</w:t>
      </w:r>
    </w:p>
    <w:p>
      <w:r>
        <w:t xml:space="preserve">SECTION 3: Composition/information on ingredients</w:t>
      </w:r>
    </w:p>
    <w:p>
      <w:r>
        <w:t xml:space="preserve">3.1   Substances</w:t>
      </w:r>
    </w:p>
    <w:p>
      <w:r>
        <w:t xml:space="preserve">      Formula                                  :  Gd</w:t>
      </w:r>
    </w:p>
    <w:p>
      <w:r>
        <w:t xml:space="preserve">      Molecular weight                    :  157.25 g/mol</w:t>
      </w:r>
    </w:p>
    <w:p>
      <w:r>
        <w:t xml:space="preserve">     CAS-No.                                 :  7440-54-2</w:t>
      </w:r>
    </w:p>
    <w:p>
      <w:r>
        <w:t xml:space="preserve">      EC-No.                                   :  231-162-2</w:t>
      </w:r>
    </w:p>
    <w:p>
      <w:r>
        <w:t xml:space="preserve"/>
      </w:r>
    </w:p>
    <w:p>
      <w:r>
        <w:t xml:space="preserve">     No components need to be disclosed according to the applicable regulations.</w:t>
      </w:r>
    </w:p>
    <w:p>
      <w:r>
        <w:t xml:space="preserve">      For the full text of the H-Statements mentioned in this Section, see Section 16.</w:t>
      </w:r>
    </w:p>
    <w:p>
      <w:r>
        <w:t xml:space="preserve"/>
      </w:r>
    </w:p>
    <w:p>
      <w:r>
        <w:t xml:space="preserve">SECTION 4: First aid measures</w:t>
      </w:r>
    </w:p>
    <w:p>
      <w:r>
        <w:t xml:space="preserve">4.1   Description of first aid measures</w:t>
      </w:r>
    </w:p>
    <w:p>
      <w:r>
        <w:t xml:space="preserve">      General advice</w:t>
      </w:r>
    </w:p>
    <w:p>
      <w:r>
        <w:t xml:space="preserve">      Consult a physician. Show this safety data sheet to the doctor in attendance.</w:t>
      </w:r>
    </w:p>
    <w:p>
      <w:r>
        <w:t xml:space="preserve">          If inhaled</w:t>
      </w:r>
    </w:p>
    <w:p>
      <w:r>
        <w:t xml:space="preserve">           If breathed in, move person into fresh air. If not breathing, give artificial respiration. Consult a physician.</w:t>
      </w:r>
    </w:p>
    <w:p>
      <w:r>
        <w:t xml:space="preserve">       In case of skin contact</w:t>
      </w:r>
    </w:p>
    <w:p>
      <w:r>
        <w:t xml:space="preserve">     Wash off with soap and plenty of water. Consult a physician.</w:t>
      </w:r>
    </w:p>
    <w:p>
      <w:r>
        <w:t xml:space="preserve">       In case of eye contact</w:t>
      </w:r>
    </w:p>
    <w:p>
      <w:r>
        <w:t xml:space="preserve">      Flush eyes with water as a precaution.</w:t>
      </w:r>
    </w:p>
    <w:p>
      <w:r>
        <w:t xml:space="preserve">          If swallowed</w:t>
      </w:r>
    </w:p>
    <w:p>
      <w:r>
        <w:t xml:space="preserve">      Never give anything by mouth to an unconscious person. Rinse mouth with water. Consult a physician.</w:t>
      </w:r>
    </w:p>
    <w:p>
      <w:r>
        <w:t xml:space="preserve">4.2   Most important symptoms and effects, both acute and delayed</w:t>
      </w:r>
    </w:p>
    <w:p>
      <w:r>
        <w:t xml:space="preserve">     The most important known symptoms and effects are described in the labelling (see section 2.2) and/or in</w:t>
      </w:r>
    </w:p>
    <w:p>
      <w:r>
        <w:t xml:space="preserve">       section 11</w:t>
      </w:r>
    </w:p>
    <w:p>
      <w:r>
        <w:t xml:space="preserve">4.3    Indication of any immediate medical attention and special treatment needed</w:t>
      </w:r>
    </w:p>
    <w:p>
      <w:r>
        <w:t xml:space="preserve">     No data available</w:t>
      </w:r>
    </w:p>
    <w:p>
      <w:r>
        <w:t xml:space="preserve"/>
      </w:r>
    </w:p>
    <w:p>
      <w:r>
        <w:t xml:space="preserve">SECTION 5: Firefighting measures</w:t>
      </w:r>
    </w:p>
    <w:p>
      <w:r>
        <w:t xml:space="preserve">5.1   Extinguishing media</w:t>
      </w:r>
    </w:p>
    <w:p>
      <w:r>
        <w:t xml:space="preserve">      Suitable extinguishing media</w:t>
      </w:r>
    </w:p>
    <w:p>
      <w:r>
        <w:t xml:space="preserve">      Dry powder Carbon dioxide (CO2)</w:t>
      </w:r>
    </w:p>
    <w:p>
      <w:r>
        <w:t xml:space="preserve">      Unsuitable extinguishing media</w:t>
      </w:r>
    </w:p>
    <w:p>
      <w:r>
        <w:t xml:space="preserve">      Water</w:t>
      </w:r>
    </w:p>
    <w:p>
      <w:r>
        <w:t xml:space="preserve">5.2   Special hazards arising from the substance or mixture</w:t>
      </w:r>
    </w:p>
    <w:p>
      <w:r>
        <w:t xml:space="preserve">      gadolinium oxides</w:t>
      </w:r>
    </w:p>
    <w:p>
      <w:r>
        <w:t xml:space="preserve">5.3   Advice for firefighters</w:t>
      </w:r>
    </w:p>
    <w:p>
      <w:r>
        <w:t xml:space="preserve">     Wear self-contained breathing apparatus for firefighting if necessary.</w:t>
      </w:r>
    </w:p>
    <w:p>
      <w:r>
        <w:t xml:space="preserve">5.4   Further information</w:t>
      </w:r>
    </w:p>
    <w:p>
      <w:r>
        <w:t xml:space="preserve">     No data available</w:t>
      </w:r>
    </w:p>
    <w:p>
      <w:r>
        <w:t xml:space="preserve"/>
      </w:r>
    </w:p>
    <w:p>
      <w:r>
        <w:t xml:space="preserve">SECTION 6: Accidental release measures</w:t>
      </w:r>
    </w:p>
    <w:p>
      <w:r>
        <w:t xml:space="preserve">6.1   Personal precautions, protective equipment and emergency procedures</w:t>
      </w:r>
    </w:p>
    <w:p>
      <w:r>
        <w:t xml:space="preserve">      Avoid dust formation. Avoid breathing vapours, mist or gas. Ensure adequate ventilation. Evacuate</w:t>
      </w:r>
    </w:p>
    <w:p>
      <w:r>
        <w:t xml:space="preserve">      personnel to safe areas.</w:t>
      </w:r>
    </w:p>
    <w:p>
      <w:r>
        <w:t xml:space="preserve">      For personal protection see section 8.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Page 2 of 6</w:t>
      </w:r>
    </w:p>
    <w:p>
      <w:r>
        <w:rPr>
          <w:b/>
        </w:rPr>
        <w:t xml:space="preserve">Page 3</w:t>
      </w:r>
    </w:p>
    <w:p>
      <w:r>
        <w:t xml:space="preserve">6.2   Environmental precautions</w:t>
      </w:r>
    </w:p>
    <w:p>
      <w:r>
        <w:t xml:space="preserve">      Prevent further leakage or spillage if safe to do so. Do not let product enter drains.</w:t>
      </w:r>
    </w:p>
    <w:p>
      <w:r>
        <w:t xml:space="preserve">6.3   Methods and materials for containment and cleaning up</w:t>
      </w:r>
    </w:p>
    <w:p>
      <w:r>
        <w:t xml:space="preserve">     Sweep up and shovel.\'20 Contain spillage, and then collect with an electrically protected vacuum</w:t>
      </w:r>
    </w:p>
    <w:p>
      <w:r>
        <w:t xml:space="preserve">       cleaner or by wet-brushing and place in container for disposal according to local regulations (see section</w:t>
      </w:r>
    </w:p>
    <w:p>
      <w:r>
        <w:t xml:space="preserve">       13). Do not flush with water. Keep in suitable, closed containers for disposal.</w:t>
      </w:r>
    </w:p>
    <w:p>
      <w:r>
        <w:t xml:space="preserve">6.4   Reference to other sections</w:t>
      </w:r>
    </w:p>
    <w:p>
      <w:r>
        <w:t xml:space="preserve">      For disposal see section 13.</w:t>
      </w:r>
    </w:p>
    <w:p>
      <w:r>
        <w:t xml:space="preserve"/>
      </w:r>
    </w:p>
    <w:p>
      <w:r>
        <w:t xml:space="preserve">SECTION 7: Handling and storage</w:t>
      </w:r>
    </w:p>
    <w:p>
      <w:r>
        <w:t xml:space="preserve">7.1   Precautions for safe handling</w:t>
      </w:r>
    </w:p>
    <w:p>
      <w:r>
        <w:t xml:space="preserve">      Provide appropriate exhaust ventilation at places where dust is formed.Keep away from sources of ignition</w:t>
      </w:r>
    </w:p>
    <w:p>
      <w:r>
        <w:t xml:space="preserve">         - No smoking.</w:t>
      </w:r>
    </w:p>
    <w:p>
      <w:r>
        <w:t xml:space="preserve">      For precautions see section 2.2.</w:t>
      </w:r>
    </w:p>
    <w:p>
      <w:r>
        <w:t xml:space="preserve">7.2   Conditions for safe storage, including any incompatibilities</w:t>
      </w:r>
    </w:p>
    <w:p>
      <w:r>
        <w:t xml:space="preserve">      Store in cool place. Keep container tightly closed in a dry and well-ventilated place.</w:t>
      </w:r>
    </w:p>
    <w:p>
      <w:r>
        <w:t xml:space="preserve">      Never allow product to get in contact with water during storage.</w:t>
      </w:r>
    </w:p>
    <w:p>
      <w:r>
        <w:t xml:space="preserve">        Air and moisture sensitive.</w:t>
      </w:r>
    </w:p>
    <w:p>
      <w:r>
        <w:t xml:space="preserve">      Storage class (TRGS 510): Solid substances which give off flammable gases in contact with water</w:t>
      </w:r>
    </w:p>
    <w:p>
      <w:r>
        <w:t xml:space="preserve">7.3   Specific end use(s)</w:t>
      </w:r>
    </w:p>
    <w:p>
      <w:r>
        <w:t xml:space="preserve">      Apart from the uses mentioned in section 1.2 no other specific uses are stipulated</w:t>
      </w:r>
    </w:p>
    <w:p>
      <w:r>
        <w:t xml:space="preserve"/>
      </w:r>
    </w:p>
    <w:p>
      <w:r>
        <w:t xml:space="preserve">SECTION 8: Exposure controls/personal protection</w:t>
      </w:r>
    </w:p>
    <w:p>
      <w:r>
        <w:t xml:space="preserve">8.1   Control parameters</w:t>
      </w:r>
    </w:p>
    <w:p>
      <w:r>
        <w:t xml:space="preserve">8.2   Exposure controls</w:t>
      </w:r>
    </w:p>
    <w:p>
      <w:r>
        <w:t xml:space="preserve">      Appropriate engineering controls</w:t>
      </w:r>
    </w:p>
    <w:p>
      <w:r>
        <w:t xml:space="preserve">      Handle in accordance with good industrial hygiene and safety practice. Wash hands before breaks and</w:t>
      </w:r>
    </w:p>
    <w:p>
      <w:r>
        <w:t xml:space="preserve">       at the end of workday.</w:t>
      </w:r>
    </w:p>
    <w:p>
      <w:r>
        <w:t xml:space="preserve">      Personal protective equipment</w:t>
      </w:r>
    </w:p>
    <w:p>
      <w:r>
        <w:t xml:space="preserve">           Eye/face protection</w:t>
      </w:r>
    </w:p>
    <w:p>
      <w:r>
        <w:t xml:space="preserve">            Safety glasses with side-shields conforming to EN166 Use equipment for eye protection tested and</w:t>
      </w:r>
    </w:p>
    <w:p>
      <w:r>
        <w:t xml:space="preserve">           approved under appropriate government standards such as NIOSH (US) or EN 166(EU).</w:t>
      </w:r>
    </w:p>
    <w:p>
      <w:r>
        <w:t xml:space="preserve">           Skin protection</w:t>
      </w:r>
    </w:p>
    <w:p>
      <w:r>
        <w:t xml:space="preserve">           Handle with gloves. Gloves must be inspected prior to use. Use proper glove removal technique</w:t>
      </w:r>
    </w:p>
    <w:p>
      <w:r>
        <w:t xml:space="preserve">             (without touching glove's outer surface) to avoid skin contact with this product. Dispose of</w:t>
      </w:r>
    </w:p>
    <w:p>
      <w:r>
        <w:t xml:space="preserve">            contaminated gloves after use in accordance with applicable laws and good laboratory practices.</w:t>
      </w:r>
    </w:p>
    <w:p>
      <w:r>
        <w:t xml:space="preserve">         Wash and dry hands.</w:t>
      </w:r>
    </w:p>
    <w:p>
      <w:r>
        <w:t xml:space="preserve">         Body Protection</w:t>
      </w:r>
    </w:p>
    <w:p>
      <w:r>
        <w:t xml:space="preserve">          Flame retardant protective clothing, The type of protective equipment must be selected according</w:t>
      </w:r>
    </w:p>
    <w:p>
      <w:r>
        <w:t xml:space="preserve">              to the concentration and amount of the dangerous substance at the specific workplace.</w:t>
      </w:r>
    </w:p>
    <w:p>
      <w:r>
        <w:t xml:space="preserve">           Respiratory protection</w:t>
      </w:r>
    </w:p>
    <w:p>
      <w:r>
        <w:t xml:space="preserve">          Where risk assessment shows air-purifying respirators are appropriate use (EN 143) respirator</w:t>
      </w:r>
    </w:p>
    <w:p>
      <w:r>
        <w:t xml:space="preserve">             cartridges as a backup to engineering controls. If th full-face supplied air respirator. Use respirators</w:t>
      </w:r>
    </w:p>
    <w:p>
      <w:r>
        <w:t xml:space="preserve">           and components tested and approved under appropriate government standards such as NIOSH</w:t>
      </w:r>
    </w:p>
    <w:p>
      <w:r>
        <w:t xml:space="preserve">           (US) or CEN (EU).</w:t>
      </w:r>
    </w:p>
    <w:p>
      <w:r>
        <w:t xml:space="preserve">           Control of environmental exposure</w:t>
      </w:r>
    </w:p>
    <w:p>
      <w:r>
        <w:t xml:space="preserve">            Prevent further leakage or spillage if safe to do so. Do not let product enter drains.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Page 3 of 6</w:t>
      </w:r>
    </w:p>
    <w:p>
      <w:r>
        <w:rPr>
          <w:b/>
        </w:rPr>
        <w:t xml:space="preserve">Page 4</w:t>
      </w:r>
    </w:p>
    <w:p>
      <w:r>
        <w:t xml:space="preserve">SECTION 9: Physical and chemical properties</w:t>
      </w:r>
    </w:p>
    <w:p>
      <w:r>
        <w:t xml:space="preserve">9.1   Information on basic physical and chemical properties</w:t>
      </w:r>
    </w:p>
    <w:p>
      <w:r>
        <w:t xml:space="preserve">       a)  Appearance            Form: solid in various forms</w:t>
      </w:r>
    </w:p>
    <w:p>
      <w:r>
        <w:t xml:space="preserve">                                    Colour: light grey</w:t>
      </w:r>
    </w:p>
    <w:p>
      <w:r>
        <w:t xml:space="preserve">       b)  Odour              No data available</w:t>
      </w:r>
    </w:p>
    <w:p>
      <w:r>
        <w:t xml:space="preserve">       c)  Odour Threshold      No data available</w:t>
      </w:r>
    </w:p>
    <w:p>
      <w:r>
        <w:t xml:space="preserve">       d)  pH                No data available</w:t>
      </w:r>
    </w:p>
    <w:p>
      <w:r>
        <w:t xml:space="preserve">       e)  Melting point/freezing     Melting point/range: 1,313 °C</w:t>
      </w:r>
    </w:p>
    <w:p>
      <w:r>
        <w:t xml:space="preserve">            point</w:t>
      </w:r>
    </w:p>
    <w:p>
      <w:r>
        <w:t xml:space="preserve">          f)    Initial boiling point and    3,273 °C</w:t>
      </w:r>
    </w:p>
    <w:p>
      <w:r>
        <w:t xml:space="preserve">            boiling range</w:t>
      </w:r>
    </w:p>
    <w:p>
      <w:r>
        <w:t xml:space="preserve">       g)  Flash point           No data available</w:t>
      </w:r>
    </w:p>
    <w:p>
      <w:r>
        <w:t xml:space="preserve">       h)  Evaporation rate       No data available</w:t>
      </w:r>
    </w:p>
    <w:p>
      <w:r>
        <w:t xml:space="preserve">           i)   Flammability (solid, gas) No data available</w:t>
      </w:r>
    </w:p>
    <w:p>
      <w:r>
        <w:t xml:space="preserve">           j)   Upper/lower          No data available</w:t>
      </w:r>
    </w:p>
    <w:p>
      <w:r>
        <w:t xml:space="preserve">           flammability or</w:t>
      </w:r>
    </w:p>
    <w:p>
      <w:r>
        <w:t xml:space="preserve">           explosive limits</w:t>
      </w:r>
    </w:p>
    <w:p>
      <w:r>
        <w:t xml:space="preserve">       k)  Vapour pressure       No data available</w:t>
      </w:r>
    </w:p>
    <w:p>
      <w:r>
        <w:t xml:space="preserve">           l)   Vapour density        No data available</w:t>
      </w:r>
    </w:p>
    <w:p>
      <w:r>
        <w:t xml:space="preserve">     m)  Relative density         7.886 g/mL at 25 °C</w:t>
      </w:r>
    </w:p>
    <w:p>
      <w:r>
        <w:t xml:space="preserve">       n)  Water solubility           insoluble</w:t>
      </w:r>
    </w:p>
    <w:p>
      <w:r>
        <w:t xml:space="preserve">       o)  Partition coefficient: n-   No data available</w:t>
      </w:r>
    </w:p>
    <w:p>
      <w:r>
        <w:t xml:space="preserve">           octanol/water</w:t>
      </w:r>
    </w:p>
    <w:p>
      <w:r>
        <w:t xml:space="preserve">       p)  Auto-ignition          No data available</w:t>
      </w:r>
    </w:p>
    <w:p>
      <w:r>
        <w:t xml:space="preserve">          temperature</w:t>
      </w:r>
    </w:p>
    <w:p>
      <w:r>
        <w:t xml:space="preserve">       q)  Decomposition        No data available</w:t>
      </w:r>
    </w:p>
    <w:p>
      <w:r>
        <w:t xml:space="preserve">          temperature</w:t>
      </w:r>
    </w:p>
    <w:p>
      <w:r>
        <w:t xml:space="preserve">         r)   Viscosity            No data available</w:t>
      </w:r>
    </w:p>
    <w:p>
      <w:r>
        <w:t xml:space="preserve">       s)  Explosive properties    No data available</w:t>
      </w:r>
    </w:p>
    <w:p>
      <w:r>
        <w:t xml:space="preserve">          t)   Oxidizing properties    No data available</w:t>
      </w:r>
    </w:p>
    <w:p>
      <w:r>
        <w:t xml:space="preserve">9.2   Other safety information</w:t>
      </w:r>
    </w:p>
    <w:p>
      <w:r>
        <w:t xml:space="preserve">     No data available</w:t>
      </w:r>
    </w:p>
    <w:p>
      <w:r>
        <w:t xml:space="preserve"/>
      </w:r>
    </w:p>
    <w:p>
      <w:r>
        <w:t xml:space="preserve">SECTION 10: Stability and reactivity</w:t>
      </w:r>
    </w:p>
    <w:p>
      <w:r>
        <w:t xml:space="preserve">10.1  Reactivity</w:t>
      </w:r>
    </w:p>
    <w:p>
      <w:r>
        <w:t xml:space="preserve">     No data available</w:t>
      </w:r>
    </w:p>
    <w:p>
      <w:r>
        <w:t xml:space="preserve">10.2  Chemical stability</w:t>
      </w:r>
    </w:p>
    <w:p>
      <w:r>
        <w:t xml:space="preserve">       Stable under recommended storage conditions.</w:t>
      </w:r>
    </w:p>
    <w:p>
      <w:r>
        <w:t xml:space="preserve">10.3  Possibility of hazardous reactions</w:t>
      </w:r>
    </w:p>
    <w:p>
      <w:r>
        <w:t xml:space="preserve">      Reacts violently with water.</w:t>
      </w:r>
    </w:p>
    <w:p>
      <w:r>
        <w:t xml:space="preserve">10.4  Conditions to avoid</w:t>
      </w:r>
    </w:p>
    <w:p>
      <w:r>
        <w:t xml:space="preserve">      Exposure to moisture</w:t>
      </w:r>
    </w:p>
    <w:p>
      <w:r>
        <w:t xml:space="preserve">10.5  Incompatible materials</w:t>
      </w:r>
    </w:p>
    <w:p>
      <w:r>
        <w:t xml:space="preserve">      Oxygen, Strong acids, Strong oxidizing agents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Page 4 of 6</w:t>
      </w:r>
    </w:p>
    <w:p>
      <w:r>
        <w:rPr>
          <w:b/>
        </w:rPr>
        <w:t xml:space="preserve">Page 5</w:t>
      </w:r>
    </w:p>
    <w:p>
      <w:r>
        <w:t xml:space="preserve">10.6  Hazardous decomposition products</w:t>
      </w:r>
    </w:p>
    <w:p>
      <w:r>
        <w:t xml:space="preserve">      Hazardous decomposition products formed under fire conditions. - gadolinium oxides</w:t>
      </w:r>
    </w:p>
    <w:p>
      <w:r>
        <w:t xml:space="preserve">      Other decomposition products - No data available</w:t>
      </w:r>
    </w:p>
    <w:p>
      <w:r>
        <w:t xml:space="preserve">       In the event of fire: see section 5</w:t>
      </w:r>
    </w:p>
    <w:p>
      <w:r>
        <w:t xml:space="preserve"/>
      </w:r>
    </w:p>
    <w:p>
      <w:r>
        <w:t xml:space="preserve">SECTION 11: Toxicological information</w:t>
      </w:r>
    </w:p>
    <w:p>
      <w:r>
        <w:t xml:space="preserve">11.1  Information on toxicological effects</w:t>
      </w:r>
    </w:p>
    <w:p>
      <w:r>
        <w:t xml:space="preserve">      Acute toxicity</w:t>
      </w:r>
    </w:p>
    <w:p>
      <w:r>
        <w:t xml:space="preserve">     No data availableGadolinium</w:t>
      </w:r>
    </w:p>
    <w:p>
      <w:r>
        <w:t xml:space="preserve">      Skin corrosion/irritation</w:t>
      </w:r>
    </w:p>
    <w:p>
      <w:r>
        <w:t xml:space="preserve">     No data available(Gadolinium)</w:t>
      </w:r>
    </w:p>
    <w:p>
      <w:r>
        <w:t xml:space="preserve">      Serious eye damage/eye irritation</w:t>
      </w:r>
    </w:p>
    <w:p>
      <w:r>
        <w:t xml:space="preserve">     No data available(Gadolinium)</w:t>
      </w:r>
    </w:p>
    <w:p>
      <w:r>
        <w:t xml:space="preserve">      Respiratory or skin sensitisation</w:t>
      </w:r>
    </w:p>
    <w:p>
      <w:r>
        <w:t xml:space="preserve">     No data available(Gadolinium)</w:t>
      </w:r>
    </w:p>
    <w:p>
      <w:r>
        <w:t xml:space="preserve">     Germ cell mutagenicity</w:t>
      </w:r>
    </w:p>
    <w:p>
      <w:r>
        <w:t xml:space="preserve"/>
      </w:r>
    </w:p>
    <w:p>
      <w:r>
        <w:t xml:space="preserve">     No data available(Gadolinium)</w:t>
      </w:r>
    </w:p>
    <w:p>
      <w:r>
        <w:t xml:space="preserve">      Carcinogenicity</w:t>
      </w:r>
    </w:p>
    <w:p>
      <w:r>
        <w:t xml:space="preserve">      IARC:    No component of this product present at levels greater than or equal to 0.1% is identified as</w:t>
      </w:r>
    </w:p>
    <w:p>
      <w:r>
        <w:t xml:space="preserve">                  probable, possible or confirmed human carcinogen by IARC.</w:t>
      </w:r>
    </w:p>
    <w:p>
      <w:r>
        <w:t xml:space="preserve">      Reproductive toxicity</w:t>
      </w:r>
    </w:p>
    <w:p>
      <w:r>
        <w:t xml:space="preserve">     No data available(Gadolinium)</w:t>
      </w:r>
    </w:p>
    <w:p>
      <w:r>
        <w:t xml:space="preserve">      Specific target organ toxicity - single exposure</w:t>
      </w:r>
    </w:p>
    <w:p>
      <w:r>
        <w:t xml:space="preserve">     No data available(Gadolinium)</w:t>
      </w:r>
    </w:p>
    <w:p>
      <w:r>
        <w:t xml:space="preserve">      Specific target organ toxicity - repeated exposure</w:t>
      </w:r>
    </w:p>
    <w:p>
      <w:r>
        <w:t xml:space="preserve">     No data available</w:t>
      </w:r>
    </w:p>
    <w:p>
      <w:r>
        <w:t xml:space="preserve">      Aspiration hazard</w:t>
      </w:r>
    </w:p>
    <w:p>
      <w:r>
        <w:t xml:space="preserve">     No data available(Gadolinium)</w:t>
      </w:r>
    </w:p>
    <w:p>
      <w:r>
        <w:t xml:space="preserve"/>
      </w:r>
    </w:p>
    <w:p>
      <w:r>
        <w:t xml:space="preserve">      Additional Information</w:t>
      </w:r>
    </w:p>
    <w:p>
      <w:r>
        <w:t xml:space="preserve">     RTECS: Not available</w:t>
      </w:r>
    </w:p>
    <w:p>
      <w:r>
        <w:t xml:space="preserve"/>
      </w:r>
    </w:p>
    <w:p>
      <w:r>
        <w:t xml:space="preserve">SECTION 12: Ecological information</w:t>
      </w:r>
    </w:p>
    <w:p>
      <w:r>
        <w:t xml:space="preserve">12.1  Toxicity</w:t>
      </w:r>
    </w:p>
    <w:p>
      <w:r>
        <w:t xml:space="preserve">     No data available</w:t>
      </w:r>
    </w:p>
    <w:p>
      <w:r>
        <w:t xml:space="preserve">12.2  Persistence and degradability</w:t>
      </w:r>
    </w:p>
    <w:p>
      <w:r>
        <w:t xml:space="preserve">     No data available</w:t>
      </w:r>
    </w:p>
    <w:p>
      <w:r>
        <w:t xml:space="preserve"/>
      </w:r>
    </w:p>
    <w:p>
      <w:r>
        <w:t xml:space="preserve">12.3  Bioaccumulative potential</w:t>
      </w:r>
    </w:p>
    <w:p>
      <w:r>
        <w:t xml:space="preserve">     No data available</w:t>
      </w:r>
    </w:p>
    <w:p>
      <w:r>
        <w:t xml:space="preserve">12.4  Mobility in soil</w:t>
      </w:r>
    </w:p>
    <w:p>
      <w:r>
        <w:t xml:space="preserve">     No data available(Gadolinium)</w:t>
      </w:r>
    </w:p>
    <w:p>
      <w:r>
        <w:t xml:space="preserve">12.5  Results of PBT and vPvB assessment</w:t>
      </w:r>
    </w:p>
    <w:p>
      <w:r>
        <w:t xml:space="preserve">      PBT/vPvB assessment not available as chemical safety assessment not required/not conducted</w:t>
      </w:r>
    </w:p>
    <w:p>
      <w:r>
        <w:t xml:space="preserve">12.6  Other adverse effects</w:t>
      </w:r>
    </w:p>
    <w:p>
      <w:r>
        <w:t xml:space="preserve">     No data available</w:t>
      </w:r>
    </w:p>
    <w:p>
      <w:r>
        <w:t xml:space="preserve"/>
      </w:r>
    </w:p>
    <w:p>
      <w:r>
        <w:t xml:space="preserve">                                                                                                 Page 5 of 6</w:t>
      </w:r>
    </w:p>
    <w:p>
      <w:r>
        <w:rPr>
          <w:b/>
        </w:rPr>
        <w:t xml:space="preserve">Page 6</w:t>
      </w:r>
    </w:p>
    <w:p>
      <w:r>
        <w:t xml:space="preserve">SECTION 13: Disposal considerations</w:t>
      </w:r>
    </w:p>
    <w:p>
      <w:r>
        <w:t xml:space="preserve">13.1  Waste treatment methods</w:t>
      </w:r>
    </w:p>
    <w:p>
      <w:r>
        <w:t xml:space="preserve">      Product</w:t>
      </w:r>
    </w:p>
    <w:p>
      <w:r>
        <w:t xml:space="preserve">      Burn in a chemical incinerator equipped with an afterburner and scrubber b highly flammable. Offer</w:t>
      </w:r>
    </w:p>
    <w:p>
      <w:r>
        <w:t xml:space="preserve">       surplus and non-recyclable solutions to a licensed disposal company. Contact a licensed</w:t>
      </w:r>
    </w:p>
    <w:p>
      <w:r>
        <w:t xml:space="preserve">       professional waste disposal service to dispose of this material.</w:t>
      </w:r>
    </w:p>
    <w:p>
      <w:r>
        <w:t xml:space="preserve">      Contaminated packaging</w:t>
      </w:r>
    </w:p>
    <w:p>
      <w:r>
        <w:t xml:space="preserve">      Dispose of as unused product.</w:t>
      </w:r>
    </w:p>
    <w:p>
      <w:r>
        <w:t xml:space="preserve"/>
      </w:r>
    </w:p>
    <w:p>
      <w:r>
        <w:t xml:space="preserve">SECTION 14: Transport information</w:t>
      </w:r>
    </w:p>
    <w:p>
      <w:r>
        <w:t xml:space="preserve">14.1  UN number</w:t>
      </w:r>
    </w:p>
    <w:p>
      <w:r>
        <w:t xml:space="preserve">      ADR/RID: 3208                IMDG: 3208                    IATA: 3208</w:t>
      </w:r>
    </w:p>
    <w:p>
      <w:r>
        <w:t xml:space="preserve">14.2  UN proper shipping name</w:t>
      </w:r>
    </w:p>
    <w:p>
      <w:r>
        <w:t xml:space="preserve">      ADR/RID: METALLIC SUBSTANCE, WATER-REACTIVE, N.O.S. (Gadolinium)</w:t>
      </w:r>
    </w:p>
    <w:p>
      <w:r>
        <w:t xml:space="preserve">      IMDG:   METALLIC SUBSTANCE, WATER-REACTIVE, N.O.S. (Gadolinium)</w:t>
      </w:r>
    </w:p>
    <w:p>
      <w:r>
        <w:t xml:space="preserve">      IATA:    METALLIC SUBSTANCE, WATER-REACTIVE, N.O.S. (Gadolinium)</w:t>
      </w:r>
    </w:p>
    <w:p>
      <w:r>
        <w:t xml:space="preserve">14.3  Transport hazard class(es)</w:t>
      </w:r>
    </w:p>
    <w:p>
      <w:r>
        <w:t xml:space="preserve">      ADR/RID: 4.3                 IMDG: 4.3                       IATA: 4.3</w:t>
      </w:r>
    </w:p>
    <w:p>
      <w:r>
        <w:t xml:space="preserve">14.4  Packaging group</w:t>
      </w:r>
    </w:p>
    <w:p>
      <w:r>
        <w:t xml:space="preserve">      ADR/RID: III                  IMDG: III                        IATA: III</w:t>
      </w:r>
    </w:p>
    <w:p>
      <w:r>
        <w:t xml:space="preserve">14.5  Environmental hazards</w:t>
      </w:r>
    </w:p>
    <w:p>
      <w:r>
        <w:t xml:space="preserve">      ADR/RID: no                IMDG Marine pollutant: no         IATA: no</w:t>
      </w:r>
    </w:p>
    <w:p>
      <w:r>
        <w:t xml:space="preserve">14.6  Special precautions for user</w:t>
      </w:r>
    </w:p>
    <w:p>
      <w:r>
        <w:t xml:space="preserve">     No data available</w:t>
      </w:r>
    </w:p>
    <w:p>
      <w:r>
        <w:t xml:space="preserve"/>
      </w:r>
    </w:p>
    <w:p>
      <w:r>
        <w:t xml:space="preserve">SECTION 15: Regulatory information</w:t>
      </w:r>
    </w:p>
    <w:p>
      <w:r>
        <w:t xml:space="preserve">15.1  Safety, health and environmental regulations/legislation specific for the substance or mixture</w:t>
      </w:r>
    </w:p>
    <w:p>
      <w:r>
        <w:t xml:space="preserve">       This safety datasheet complies with the requirements of Regulation (EC) No. 1907/2006.</w:t>
      </w:r>
    </w:p>
    <w:p>
      <w:r>
        <w:t xml:space="preserve">15.2  Chemical safety assessment</w:t>
      </w:r>
    </w:p>
    <w:p>
      <w:r>
        <w:t xml:space="preserve">       For this product a chemical safety assessment was not carried out</w:t>
      </w:r>
    </w:p>
    <w:p>
      <w:r>
        <w:t xml:space="preserve"/>
      </w:r>
    </w:p>
    <w:p>
      <w:r>
        <w:t xml:space="preserve">SECTION 16: Other information</w:t>
      </w:r>
    </w:p>
    <w:p>
      <w:r>
        <w:t xml:space="preserve">       Full text of H-Statements referred to under sections 2 and 3.</w:t>
      </w:r>
    </w:p>
    <w:p>
      <w:r>
        <w:t xml:space="preserve"/>
      </w:r>
    </w:p>
    <w:p>
      <w:r>
        <w:t xml:space="preserve">     H261                In contact with water releases flammable gases.</w:t>
      </w:r>
    </w:p>
    <w:p>
      <w:r>
        <w:t xml:space="preserve">      Further information</w:t>
      </w:r>
    </w:p>
    <w:p>
      <w:r>
        <w:t xml:space="preserve">      The above information is believed to be correct but does not purport to be all inclusive and shall be</w:t>
      </w:r>
    </w:p>
    <w:p>
      <w:r>
        <w:t xml:space="preserve">      used only as a guide. The information in this document is based on the present state of our knowledge</w:t>
      </w:r>
    </w:p>
    <w:p>
      <w:r>
        <w:t xml:space="preserve">      and is applicable to the product with regard to appropriate safety precautions. It does not represent</w:t>
      </w:r>
    </w:p>
    <w:p>
      <w:r>
        <w:t xml:space="preserve">      any guarantee of the properties of the product. Central Drug House (P) Ltd and its Affiliates shall not</w:t>
      </w:r>
    </w:p>
    <w:p>
      <w:r>
        <w:t xml:space="preserve">      be held liable for any damage resulting from handling or from contact with the above product. See</w:t>
      </w:r>
    </w:p>
    <w:p>
      <w:r>
        <w:t xml:space="preserve">      www.cdhfinechemical.com for additional terms and conditions of sale.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Page 6 of 6</w:t>
      </w:r>
    </w:p>
    <w:sectPr>
      <w:pgSz w:w="11906" w:h="16838"/>
      <w:pgMar w:top="1134" w:right="1134" w:bottom="1134" w:left="1134"/>
    </w:sectPr>
  </w:body>
</w:document>
</file>