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Terbium chips (99.9% REO) 93-6516 SDS</w:t>
      </w:r>
    </w:p>
    <w:p>
      <w:r>
        <w:t xml:space="preserve">Publisher: Strem Chemicals, Inc.</w:t>
      </w:r>
    </w:p>
    <w:p>
      <w:r>
        <w:t xml:space="preserve">Source: https://resds.com/document/terbium-chips-99-9-reo-sds-strem-chemicals-de-0a6443408f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                                Seite: 1/6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ABSCHNITT 1: Bezeichnung des Stoffs beziehungsweise des Gemischs und des</w:t>
      </w:r>
    </w:p>
    <w:p>
      <w:r>
        <w:t xml:space="preserve">              Unternehmens</w:t>
      </w:r>
    </w:p>
    <w:p>
      <w:r>
        <w:t xml:space="preserve"/>
      </w:r>
    </w:p>
    <w:p>
      <w:r>
        <w:t xml:space="preserve">                                · 1.1 Produktidentifikator</w:t>
      </w:r>
    </w:p>
    <w:p>
      <w:r>
        <w:t xml:space="preserve"/>
      </w:r>
    </w:p>
    <w:p>
      <w:r>
        <w:t xml:space="preserve">                                · Handelsname: Terbium chips (99.9% REO)</w:t>
      </w:r>
    </w:p>
    <w:p>
      <w:r>
        <w:t xml:space="preserve"/>
      </w:r>
    </w:p>
    <w:p>
      <w:r>
        <w:t xml:space="preserve">                                · Artikelnummer: 93-6516</w:t>
      </w:r>
    </w:p>
    <w:p>
      <w:r>
        <w:t xml:space="preserve">                                · CAS-Nummer:</w:t>
      </w:r>
    </w:p>
    <w:p>
      <w:r>
        <w:t xml:space="preserve">                  7440-27-9</w:t>
      </w:r>
    </w:p>
    <w:p>
      <w:r>
        <w:t xml:space="preserve">                                · EG-Nummer:</w:t>
      </w:r>
    </w:p>
    <w:p>
      <w:r>
        <w:t xml:space="preserve">                  231-137-6</w:t>
      </w:r>
    </w:p>
    <w:p>
      <w:r>
        <w:t xml:space="preserve">                                · 1.2 Relevante identifizierte Verwendungen des Stoffs oder Gemischs und Verwendungen, von denen abgeraten</w:t>
      </w:r>
    </w:p>
    <w:p>
      <w:r>
        <w:t xml:space="preserve">                  wird</w:t>
      </w:r>
    </w:p>
    <w:p>
      <w:r>
        <w:t xml:space="preserve">                  Keine weiteren relevanten Informationen verfügbar.</w:t>
      </w:r>
    </w:p>
    <w:p>
      <w:r>
        <w:t xml:space="preserve"/>
      </w:r>
    </w:p>
    <w:p>
      <w:r>
        <w:t xml:space="preserve">                                · 1.3 Einzelheiten zum Lieferanten, der das Sicherheitsdatenblatt bereitstellt</w:t>
      </w:r>
    </w:p>
    <w:p>
      <w:r>
        <w:t xml:space="preserve">                                · Hersteller/Lieferant:</w:t>
      </w:r>
    </w:p>
    <w:p>
      <w:r>
        <w:t xml:space="preserve">                  Strem Chemicals, Inc.</w:t>
      </w:r>
    </w:p>
    <w:p>
      <w:r>
        <w:t xml:space="preserve">                 7 Mulliken Way</w:t>
      </w:r>
    </w:p>
    <w:p>
      <w:r>
        <w:t xml:space="preserve">              NEWBURYPORT, MA 01950</w:t>
      </w:r>
    </w:p>
    <w:p>
      <w:r>
        <w:t xml:space="preserve">              USA</w:t>
      </w:r>
    </w:p>
    <w:p>
      <w:r>
        <w:t xml:space="preserve">                  info@strem.com</w:t>
      </w:r>
    </w:p>
    <w:p>
      <w:r>
        <w:t xml:space="preserve"/>
      </w:r>
    </w:p>
    <w:p>
      <w:r>
        <w:t xml:space="preserve">                                · Auskunftgebender Bereich: Technical Department</w:t>
      </w:r>
    </w:p>
    <w:p>
      <w:r>
        <w:t xml:space="preserve">                                · 1.4 Notrufnummer:</w:t>
      </w:r>
    </w:p>
    <w:p>
      <w:r>
        <w:t xml:space="preserve">              EMERGENCY: CHEMTREC: + 1 (800) 424-9300</w:t>
      </w:r>
    </w:p>
    <w:p>
      <w:r>
        <w:t xml:space="preserve">                  During normal opening times: +1 (978) 499-1600</w:t>
      </w:r>
    </w:p>
    <w:p>
      <w:r>
        <w:t xml:space="preserve"/>
      </w:r>
    </w:p>
    <w:p>
      <w:r>
        <w:t xml:space="preserve"/>
      </w:r>
    </w:p>
    <w:p>
      <w:r>
        <w:t xml:space="preserve">           ABSCHNITT 2: Mögliche Gefahren</w:t>
      </w:r>
    </w:p>
    <w:p>
      <w:r>
        <w:t xml:space="preserve"/>
      </w:r>
    </w:p>
    <w:p>
      <w:r>
        <w:t xml:space="preserve">                                · 2.1 Einstufung des Stoffs oder Gemischs</w:t>
      </w:r>
    </w:p>
    <w:p>
      <w:r>
        <w:t xml:space="preserve">                                · Einstufung gemäß Verordnung (EG) Nr. 1272/2008</w:t>
      </w:r>
    </w:p>
    <w:p>
      <w:r>
        <w:t xml:space="preserve"/>
      </w:r>
    </w:p>
    <w:p>
      <w:r>
        <w:t xml:space="preserve">                     GHS02 Flamme  d~</w:t>
      </w:r>
    </w:p>
    <w:p>
      <w:r>
        <w:t xml:space="preserve">                  Flam. Sol. 2 H228 Entzündbarer Feststoff.</w:t>
      </w:r>
    </w:p>
    <w:p>
      <w:r>
        <w:t xml:space="preserve"/>
      </w:r>
    </w:p>
    <w:p>
      <w:r>
        <w:t xml:space="preserve">                                · 2.2 Kennzeichnungselemente</w:t>
      </w:r>
    </w:p>
    <w:p>
      <w:r>
        <w:t xml:space="preserve">                                · Kennzeichnung gemäß Verordnung (EG) Nr. 1272/2008</w:t>
      </w:r>
    </w:p>
    <w:p>
      <w:r>
        <w:t xml:space="preserve">                Der Stoff ist gemäß CLP-Verordnung eingestuft und gekennzeichnet.</w:t>
      </w:r>
    </w:p>
    <w:p>
      <w:r>
        <w:t xml:space="preserve">                                · Gefahrenpiktogramme</w:t>
      </w:r>
    </w:p>
    <w:p>
      <w:r>
        <w:t xml:space="preserve">  d~</w:t>
      </w:r>
    </w:p>
    <w:p>
      <w:r>
        <w:t xml:space="preserve">               GHS02</w:t>
      </w:r>
    </w:p>
    <w:p>
      <w:r>
        <w:t xml:space="preserve"/>
      </w:r>
    </w:p>
    <w:p>
      <w:r>
        <w:t xml:space="preserve">                                · Signalwort Achtung</w:t>
      </w:r>
    </w:p>
    <w:p>
      <w:r>
        <w:t xml:space="preserve">                                · Gefahrenhinweise</w:t>
      </w:r>
    </w:p>
    <w:p>
      <w:r>
        <w:t xml:space="preserve">               H228 Entzündbarer Feststoff.</w:t>
      </w:r>
    </w:p>
    <w:p>
      <w:r>
        <w:t xml:space="preserve">                                · Sicherheitshinweise</w:t>
      </w:r>
    </w:p>
    <w:p>
      <w:r>
        <w:t xml:space="preserve">                P101                  Ist ärztlicher Rat erforderlich, Verpackung oder Kennzeichnungsetikett bereithalten.</w:t>
      </w:r>
    </w:p>
    <w:p>
      <w:r>
        <w:t xml:space="preserve">                P102            Darf nicht in die Hände von Kindern gelangen.</w:t>
      </w:r>
    </w:p>
    <w:p>
      <w:r>
        <w:t xml:space="preserve">                P103            Vor Gebrauch Kennzeichnungsetikett lesen.</w:t>
      </w:r>
    </w:p>
    <w:p>
      <w:r>
        <w:t xml:space="preserve">                P231             Unter inertem Gas handhaben.</w:t>
      </w:r>
    </w:p>
    <w:p>
      <w:r>
        <w:t xml:space="preserve">                P222            Keinen Kontakt mit Luft zulassen.</w:t>
      </w:r>
    </w:p>
    <w:p>
      <w:r>
        <w:t xml:space="preserve">                                                                                                                                          (Fortsetzung auf Seite 2)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2</w:t>
      </w:r>
    </w:p>
    <w:p>
      <w:r>
        <w:t xml:space="preserve">                                                                                                                                     Seite: 2/6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Terbium chips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1)</w:t>
      </w:r>
    </w:p>
    <w:p>
      <w:r>
        <w:t xml:space="preserve">                P262             Nicht in die Augen, auf die Haut oder auf die Kleidung gelangen lassen.</w:t>
      </w:r>
    </w:p>
    <w:p>
      <w:r>
        <w:t xml:space="preserve">               P305+P351+P338 BEI KONTAKT MIT DEN AUGEN: Einige Minuten lang behutsam mit Wasser spülen.</w:t>
      </w:r>
    </w:p>
    <w:p>
      <w:r>
        <w:t xml:space="preserve">                                       Eventuell vorhandene Kontaktlinsen nach Möglichkeit entfernen. Weiter spülen.</w:t>
      </w:r>
    </w:p>
    <w:p>
      <w:r>
        <w:t xml:space="preserve">               P403+P233     An einem gut belüfteten Ort aufbewahren. Behälter dicht verschlossen halten.</w:t>
      </w:r>
    </w:p>
    <w:p>
      <w:r>
        <w:t xml:space="preserve">                P501            Entsorgung des Inhalts / des Behälters gemäß den örtlichen / regionalen / nationalen/</w:t>
      </w:r>
    </w:p>
    <w:p>
      <w:r>
        <w:t xml:space="preserve">                                        internationalen Vorschriften.</w:t>
      </w:r>
    </w:p>
    <w:p>
      <w:r>
        <w:t xml:space="preserve">                                · 2.3 Sonstige Gefahren</w:t>
      </w:r>
    </w:p>
    <w:p>
      <w:r>
        <w:t xml:space="preserve">                                · Ergebnisse der PBT- und vPvB-Beurteilung</w:t>
      </w:r>
    </w:p>
    <w:p>
      <w:r>
        <w:t xml:space="preserve">                                · PBT: Nicht anwendbar.</w:t>
      </w:r>
    </w:p>
    <w:p>
      <w:r>
        <w:t xml:space="preserve">                                · vPvB: Nicht anwendbar.</w:t>
      </w:r>
    </w:p>
    <w:p>
      <w:r>
        <w:t xml:space="preserve"/>
      </w:r>
    </w:p>
    <w:p>
      <w:r>
        <w:t xml:space="preserve"/>
      </w:r>
    </w:p>
    <w:p>
      <w:r>
        <w:t xml:space="preserve">           ABSCHNITT 3: Zusammensetzung/Angaben zu Bestandteilen</w:t>
      </w:r>
    </w:p>
    <w:p>
      <w:r>
        <w:t xml:space="preserve"/>
      </w:r>
    </w:p>
    <w:p>
      <w:r>
        <w:t xml:space="preserve">                                · 3.1 Chemische Charakterisierung: Stoffe</w:t>
      </w:r>
    </w:p>
    <w:p>
      <w:r>
        <w:t xml:space="preserve">                                · CAS-Nr. Bezeichnung</w:t>
      </w:r>
    </w:p>
    <w:p>
      <w:r>
        <w:t xml:space="preserve">                  7440-27-9 Terbium (Pulver)</w:t>
      </w:r>
    </w:p>
    <w:p>
      <w:r>
        <w:t xml:space="preserve">                                · Identifikationsnummer(n)</w:t>
      </w:r>
    </w:p>
    <w:p>
      <w:r>
        <w:t xml:space="preserve">                                · EG-Nummer: 231-137-6</w:t>
      </w:r>
    </w:p>
    <w:p>
      <w:r>
        <w:t xml:space="preserve"/>
      </w:r>
    </w:p>
    <w:p>
      <w:r>
        <w:t xml:space="preserve"/>
      </w:r>
    </w:p>
    <w:p>
      <w:r>
        <w:t xml:space="preserve">           ABSCHNITT 4: Erste-Hilfe-Maßnahmen</w:t>
      </w:r>
    </w:p>
    <w:p>
      <w:r>
        <w:t xml:space="preserve"/>
      </w:r>
    </w:p>
    <w:p>
      <w:r>
        <w:t xml:space="preserve">                                · 4.1 Beschreibung der Erste-Hilfe-Maßnahmen</w:t>
      </w:r>
    </w:p>
    <w:p>
      <w:r>
        <w:t xml:space="preserve">                                · Nach Einatmen: Frischluftzufuhr, bei Beschwerden Arzt aufsuchen.</w:t>
      </w:r>
    </w:p>
    <w:p>
      <w:r>
        <w:t xml:space="preserve">                                · Nach Hautkontakt: Sofort mit Wasser abwaschen.</w:t>
      </w:r>
    </w:p>
    <w:p>
      <w:r>
        <w:t xml:space="preserve">                                · Nach Augenkontakt:</w:t>
      </w:r>
    </w:p>
    <w:p>
      <w:r>
        <w:t xml:space="preserve">                 Augen bei geöffnetem Lidspalt mehrere Minuten unter fließendem Wasser abspülen und Arzt konsultieren.</w:t>
      </w:r>
    </w:p>
    <w:p>
      <w:r>
        <w:t xml:space="preserve">                                · Nach Verschlucken: Bei anhaltenden Beschwerden Arzt konsultieren.</w:t>
      </w:r>
    </w:p>
    <w:p>
      <w:r>
        <w:t xml:space="preserve">                                · 4.2 Wichtigste akute und verzögert auftretende Symptome und Wirkungen</w:t>
      </w:r>
    </w:p>
    <w:p>
      <w:r>
        <w:t xml:space="preserve">                  Keine weiteren relevanten Informationen verfügbar.</w:t>
      </w:r>
    </w:p>
    <w:p>
      <w:r>
        <w:t xml:space="preserve">                                · 4.3 Hinweise auf ärztliche Soforthilfe oder Spezialbehandlung</w:t>
      </w:r>
    </w:p>
    <w:p>
      <w:r>
        <w:t xml:space="preserve">                 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 ABSCHNITT 5: Maßnahmen zur Brandbekämpfung</w:t>
      </w:r>
    </w:p>
    <w:p>
      <w:r>
        <w:t xml:space="preserve"/>
      </w:r>
    </w:p>
    <w:p>
      <w:r>
        <w:t xml:space="preserve">                                · 5.1 Löschmittel</w:t>
      </w:r>
    </w:p>
    <w:p>
      <w:r>
        <w:t xml:space="preserve">                                · Geeignete Löschmittel: Feuerlöschmaßnahmen auf die Umgebung abstimmen.</w:t>
      </w:r>
    </w:p>
    <w:p>
      <w:r>
        <w:t xml:space="preserve">                                · 5.2 Besondere vom Stoff oder Gemisch ausgehende Gefahren</w:t>
      </w:r>
    </w:p>
    <w:p>
      <w:r>
        <w:t xml:space="preserve">                  Keine weiteren relevanten Informationen verfügbar.</w:t>
      </w:r>
    </w:p>
    <w:p>
      <w:r>
        <w:t xml:space="preserve">                                · 5.3 Hinweise für die Brandbekämpfung</w:t>
      </w:r>
    </w:p>
    <w:p>
      <w:r>
        <w:t xml:space="preserve">                                · Besondere Schutzausrüstung: Keine besonderen Maßnahmen erforderlich.</w:t>
      </w:r>
    </w:p>
    <w:p>
      <w:r>
        <w:t xml:space="preserve"/>
      </w:r>
    </w:p>
    <w:p>
      <w:r>
        <w:t xml:space="preserve"/>
      </w:r>
    </w:p>
    <w:p>
      <w:r>
        <w:t xml:space="preserve">           ABSCHNITT 6: Maßnahmen bei unbeabsichtigter Freisetzung</w:t>
      </w:r>
    </w:p>
    <w:p>
      <w:r>
        <w:t xml:space="preserve"/>
      </w:r>
    </w:p>
    <w:p>
      <w:r>
        <w:t xml:space="preserve">                                · 6.1 Personenbezogene Vorsichtsmaßnahmen, Schutzausrüstungen und in Notfällen anzuwendende Verfahren</w:t>
      </w:r>
    </w:p>
    <w:p>
      <w:r>
        <w:t xml:space="preserve">                   Schutzausrüstung tragen. Ungeschützte Personen fernhalten.</w:t>
      </w:r>
    </w:p>
    <w:p>
      <w:r>
        <w:t xml:space="preserve">                                · 6.2 Umweltschutzmaßnahmen: Keine besonderen Maßnahmen erforderlich.</w:t>
      </w:r>
    </w:p>
    <w:p>
      <w:r>
        <w:t xml:space="preserve">                                · 6.3 Methoden und Material für Rückhaltung und Reinigung:</w:t>
      </w:r>
    </w:p>
    <w:p>
      <w:r>
        <w:t xml:space="preserve">                   Kontaminiertes Material als Abfall nach Abschnitt 13 entsorgen.</w:t>
      </w:r>
    </w:p>
    <w:p>
      <w:r>
        <w:t xml:space="preserve">                 Für ausreichende Lüftung sorgen.</w:t>
      </w:r>
    </w:p>
    <w:p>
      <w:r>
        <w:t xml:space="preserve">                                                                                                                                          (Fortsetzung auf Seite 3)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3</w:t>
      </w:r>
    </w:p>
    <w:p>
      <w:r>
        <w:t xml:space="preserve">                                                                                                                                     Seite: 3/6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Terbium chips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2)</w:t>
      </w:r>
    </w:p>
    <w:p>
      <w:r>
        <w:t xml:space="preserve">                                · 6.4 Verweis auf andere Abschnitte</w:t>
      </w:r>
    </w:p>
    <w:p>
      <w:r>
        <w:t xml:space="preserve">                   Informationen zur sicheren Handhabung siehe Abschnitt 7.</w:t>
      </w:r>
    </w:p>
    <w:p>
      <w:r>
        <w:t xml:space="preserve">                   Informationen zur persönlichen Schutzausrüstung siehe Abschnitt 8.</w:t>
      </w:r>
    </w:p>
    <w:p>
      <w:r>
        <w:t xml:space="preserve">                   Informationen zur Entsorgung siehe Abschnitt 13.</w:t>
      </w:r>
    </w:p>
    <w:p>
      <w:r>
        <w:t xml:space="preserve"/>
      </w:r>
    </w:p>
    <w:p>
      <w:r>
        <w:t xml:space="preserve"/>
      </w:r>
    </w:p>
    <w:p>
      <w:r>
        <w:t xml:space="preserve">           ABSCHNITT 7: Handhabung und Lagerung</w:t>
      </w:r>
    </w:p>
    <w:p>
      <w:r>
        <w:t xml:space="preserve"/>
      </w:r>
    </w:p>
    <w:p>
      <w:r>
        <w:t xml:space="preserve">                                · 7.1 Schutzmaßnahmen zur sicheren Handhabung</w:t>
      </w:r>
    </w:p>
    <w:p>
      <w:r>
        <w:t xml:space="preserve">                   Bei sachgemäßer Verwendung keine besonderen Maßnahmen erforderlich.</w:t>
      </w:r>
    </w:p>
    <w:p>
      <w:r>
        <w:t xml:space="preserve"/>
      </w:r>
    </w:p>
    <w:p>
      <w:r>
        <w:t xml:space="preserve">                                · Handhabung: Unter inertem Gas handhaben.</w:t>
      </w:r>
    </w:p>
    <w:p>
      <w:r>
        <w:t xml:space="preserve">                                · Hinweise zum Brand- und Explosionsschutz: Zündquellen fernhalten - nicht rauchen.</w:t>
      </w:r>
    </w:p>
    <w:p>
      <w:r>
        <w:t xml:space="preserve"/>
      </w:r>
    </w:p>
    <w:p>
      <w:r>
        <w:t xml:space="preserve">                                · 7.2 Bedingungen zur sicheren Lagerung unter Berücksichtigung von Unverträglichkeiten</w:t>
      </w:r>
    </w:p>
    <w:p>
      <w:r>
        <w:t xml:space="preserve">                                · Lagerung: Inhalte unter Inertgas aufbewahren.</w:t>
      </w:r>
    </w:p>
    <w:p>
      <w:r>
        <w:t xml:space="preserve">                                · Anforderung an Lagerräume und Behälter: Keine besonderen Anforderungen.</w:t>
      </w:r>
    </w:p>
    <w:p>
      <w:r>
        <w:t xml:space="preserve">                                · Zusammenlagerungshinweise: Nicht erforderlich.</w:t>
      </w:r>
    </w:p>
    <w:p>
      <w:r>
        <w:t xml:space="preserve">                                · Weitere Angaben zu den Lagerbedingungen:</w:t>
      </w:r>
    </w:p>
    <w:p>
      <w:r>
        <w:t xml:space="preserve">                    Behälter dicht geschlossen halten.</w:t>
      </w:r>
    </w:p>
    <w:p>
      <w:r>
        <w:t xml:space="preserve">                    In gut verschlossenen Gebinden kühl und trocken lagern.</w:t>
      </w:r>
    </w:p>
    <w:p>
      <w:r>
        <w:t xml:space="preserve">                                · Lagerklasse:</w:t>
      </w:r>
    </w:p>
    <w:p>
      <w:r>
        <w:t xml:space="preserve">                                · Klassifizierung nach Betriebssicherheitsverordnung (BetrSichV): -</w:t>
      </w:r>
    </w:p>
    <w:p>
      <w:r>
        <w:t xml:space="preserve">                                · 7.3 Spezifische Endanwendungen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ABSCHNITT 8: Begrenzung und Überwachung der Exposition/Persönliche</w:t>
      </w:r>
    </w:p>
    <w:p>
      <w:r>
        <w:t xml:space="preserve">               Schutzausrüstungen</w:t>
      </w:r>
    </w:p>
    <w:p>
      <w:r>
        <w:t xml:space="preserve"/>
      </w:r>
    </w:p>
    <w:p>
      <w:r>
        <w:t xml:space="preserve">                                · Zusätzliche Hinweise zur Gestaltung technischer Anlagen: Keine weiteren Angaben, siehe Abschnitt 7.</w:t>
      </w:r>
    </w:p>
    <w:p>
      <w:r>
        <w:t xml:space="preserve"/>
      </w:r>
    </w:p>
    <w:p>
      <w:r>
        <w:t xml:space="preserve">                                · 8.1 Zu überwachende Parameter</w:t>
      </w:r>
    </w:p>
    <w:p>
      <w:r>
        <w:t xml:space="preserve">                                · Bestandteile mit arbeitsplatzbezogenen, zu überwachenden Grenzwerten: Entfällt.</w:t>
      </w:r>
    </w:p>
    <w:p>
      <w:r>
        <w:t xml:space="preserve">                                · Zusätzliche Hinweise: Als Grundlage dienten die bei der Erstellung gültigen Listen.</w:t>
      </w:r>
    </w:p>
    <w:p>
      <w:r>
        <w:t xml:space="preserve"/>
      </w:r>
    </w:p>
    <w:p>
      <w:r>
        <w:t xml:space="preserve">                                · 8.2 Begrenzung und Überwachung der Exposition</w:t>
      </w:r>
    </w:p>
    <w:p>
      <w:r>
        <w:t xml:space="preserve">                                · Persönliche Schutzausrüstung:</w:t>
      </w:r>
    </w:p>
    <w:p>
      <w:r>
        <w:t xml:space="preserve">                                · Allgemeine Schutz- und Hygienemaßnahmen: Vor den Pausen und bei Arbeitsende Hände waschen.</w:t>
      </w:r>
    </w:p>
    <w:p>
      <w:r>
        <w:t xml:space="preserve">                                · Atemschutz: Nicht erforderlich.</w:t>
      </w:r>
    </w:p>
    <w:p>
      <w:r>
        <w:t xml:space="preserve">                                · Handschutz: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Schutzhandschuhe  _S</w:t>
      </w:r>
    </w:p>
    <w:p>
      <w:r>
        <w:t xml:space="preserve"/>
      </w:r>
    </w:p>
    <w:p>
      <w:r>
        <w:t xml:space="preserve">                Das Handschuhmaterial muss undurchlässig und beständig gegen das Produkt / den Stoff / die Zubereitung sein.</w:t>
      </w:r>
    </w:p>
    <w:p>
      <w:r>
        <w:t xml:space="preserve">                  Aufgrund fehlender Tests kann keine Empfehlung zum Handschuhmaterial für das Produkt / die Zubereitung / das</w:t>
      </w:r>
    </w:p>
    <w:p>
      <w:r>
        <w:t xml:space="preserve">                  Chemikaliengemisch abgegeben werden.</w:t>
      </w:r>
    </w:p>
    <w:p>
      <w:r>
        <w:t xml:space="preserve">                Auswahl des Handschuhmaterials unter Beachtung der Durchbruchzeiten, Permeationsraten und der</w:t>
      </w:r>
    </w:p>
    <w:p>
      <w:r>
        <w:t xml:space="preserve">                   Degradation.</w:t>
      </w:r>
    </w:p>
    <w:p>
      <w:r>
        <w:t xml:space="preserve">                                · Handschuhmaterial</w:t>
      </w:r>
    </w:p>
    <w:p>
      <w:r>
        <w:t xml:space="preserve">                Die Auswahl eines geeigneten Handschuhs ist nicht nur vom Material, sondern auch von weiteren</w:t>
      </w:r>
    </w:p>
    <w:p>
      <w:r>
        <w:t xml:space="preserve">                   Qualitätsmerkmalen abhängig und von Hersteller zu Hersteller unterschiedlich.</w:t>
      </w:r>
    </w:p>
    <w:p>
      <w:r>
        <w:t xml:space="preserve">                                · Durchdringungszeit des Handschuhmaterials</w:t>
      </w:r>
    </w:p>
    <w:p>
      <w:r>
        <w:t xml:space="preserve">                  Die genaue Durchbruchzeit ist beim Schutzhandschuhhersteller zu erfahren und einzuhalten.</w:t>
      </w:r>
    </w:p>
    <w:p>
      <w:r>
        <w:t xml:space="preserve">                                                                                                                                          (Fortsetzung auf Seite 4)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4</w:t>
      </w:r>
    </w:p>
    <w:p>
      <w:r>
        <w:t xml:space="preserve">                                                                                                                                     Seite: 4/6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Terbium chips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3)</w:t>
      </w:r>
    </w:p>
    <w:p>
      <w:r>
        <w:t xml:space="preserve">                                · Augenschutz: Schutzbrille</w:t>
      </w:r>
    </w:p>
    <w:p>
      <w:r>
        <w:t xml:space="preserve"/>
      </w:r>
    </w:p>
    <w:p>
      <w:r>
        <w:t xml:space="preserve"/>
      </w:r>
    </w:p>
    <w:p>
      <w:r>
        <w:t xml:space="preserve">           ABSCHNITT 9: Physikalische und chemische Eigenschaften</w:t>
      </w:r>
    </w:p>
    <w:p>
      <w:r>
        <w:t xml:space="preserve"/>
      </w:r>
    </w:p>
    <w:p>
      <w:r>
        <w:t xml:space="preserve">                                · 9.1 Angaben zu den grundlegenden physikalischen und chemischen Eigenschaften</w:t>
      </w:r>
    </w:p>
    <w:p>
      <w:r>
        <w:t xml:space="preserve">                                · Allgemeine Angaben</w:t>
      </w:r>
    </w:p>
    <w:p>
      <w:r>
        <w:t xml:space="preserve">                                · Aussehen:</w:t>
      </w:r>
    </w:p>
    <w:p>
      <w:r>
        <w:t xml:space="preserve">                 Form:                               Chips</w:t>
      </w:r>
    </w:p>
    <w:p>
      <w:r>
        <w:t xml:space="preserve">                   Farbe:                           Grau</w:t>
      </w:r>
    </w:p>
    <w:p>
      <w:r>
        <w:t xml:space="preserve">                                · Geruch:                               Geruchlos</w:t>
      </w:r>
    </w:p>
    <w:p>
      <w:r>
        <w:t xml:space="preserve">                                · Geruchsschwelle:                        Nicht bestimmt.</w:t>
      </w:r>
    </w:p>
    <w:p>
      <w:r>
        <w:t xml:space="preserve"/>
      </w:r>
    </w:p>
    <w:p>
      <w:r>
        <w:t xml:space="preserve">                                · pH-Wert:                                Nicht anwendbar.</w:t>
      </w:r>
    </w:p>
    <w:p>
      <w:r>
        <w:t xml:space="preserve"/>
      </w:r>
    </w:p>
    <w:p>
      <w:r>
        <w:t xml:space="preserve">                                · Zustandsänderung</w:t>
      </w:r>
    </w:p>
    <w:p>
      <w:r>
        <w:t xml:space="preserve">                    Schmelzpunkt/Gefrierpunkt:           1,360 °C</w:t>
      </w:r>
    </w:p>
    <w:p>
      <w:r>
        <w:t xml:space="preserve">                    Siedebeginn und Siedebereich:         3,041 °C</w:t>
      </w:r>
    </w:p>
    <w:p>
      <w:r>
        <w:t xml:space="preserve"/>
      </w:r>
    </w:p>
    <w:p>
      <w:r>
        <w:t xml:space="preserve">                                · Flammpunkt:                            Nicht anwendbar.</w:t>
      </w:r>
    </w:p>
    <w:p>
      <w:r>
        <w:t xml:space="preserve"/>
      </w:r>
    </w:p>
    <w:p>
      <w:r>
        <w:t xml:space="preserve">                                · Entzündbarkeit (fest, gasförmig):         Entzündlich.</w:t>
      </w:r>
    </w:p>
    <w:p>
      <w:r>
        <w:t xml:space="preserve"/>
      </w:r>
    </w:p>
    <w:p>
      <w:r>
        <w:t xml:space="preserve">                                · Zündtemperatur:</w:t>
      </w:r>
    </w:p>
    <w:p>
      <w:r>
        <w:t xml:space="preserve"/>
      </w:r>
    </w:p>
    <w:p>
      <w:r>
        <w:t xml:space="preserve">                     Zersetzungstemperatur:                Nicht bestimmt.</w:t>
      </w:r>
    </w:p>
    <w:p>
      <w:r>
        <w:t xml:space="preserve"/>
      </w:r>
    </w:p>
    <w:p>
      <w:r>
        <w:t xml:space="preserve">                                · Selbstentzündungstemperatur:            Nicht bestimmt.</w:t>
      </w:r>
    </w:p>
    <w:p>
      <w:r>
        <w:t xml:space="preserve"/>
      </w:r>
    </w:p>
    <w:p>
      <w:r>
        <w:t xml:space="preserve">                                · Explosive Eigenschaften:                 Nicht bestimmt.</w:t>
      </w:r>
    </w:p>
    <w:p>
      <w:r>
        <w:t xml:space="preserve"/>
      </w:r>
    </w:p>
    <w:p>
      <w:r>
        <w:t xml:space="preserve">                                · Explosionsgrenzen:</w:t>
      </w:r>
    </w:p>
    <w:p>
      <w:r>
        <w:t xml:space="preserve">                    Untere:                                Nicht bestimmt.</w:t>
      </w:r>
    </w:p>
    <w:p>
      <w:r>
        <w:t xml:space="preserve">                   Obere:                                 Nicht bestimmt.</w:t>
      </w:r>
    </w:p>
    <w:p>
      <w:r>
        <w:t xml:space="preserve"/>
      </w:r>
    </w:p>
    <w:p>
      <w:r>
        <w:t xml:space="preserve">                                · Dampfdruck:                            Nicht anwendbar.</w:t>
      </w:r>
    </w:p>
    <w:p>
      <w:r>
        <w:t xml:space="preserve"/>
      </w:r>
    </w:p>
    <w:p>
      <w:r>
        <w:t xml:space="preserve">                                · Dichte bei 20 °C:                        8,234 g/cm³</w:t>
      </w:r>
    </w:p>
    <w:p>
      <w:r>
        <w:t xml:space="preserve">                                · Relative Dichte                          Nicht bestimmt.</w:t>
      </w:r>
    </w:p>
    <w:p>
      <w:r>
        <w:t xml:space="preserve">                                · Dampfdichte                             Nicht anwendbar.</w:t>
      </w:r>
    </w:p>
    <w:p>
      <w:r>
        <w:t xml:space="preserve">                                · Verdampfungsgeschwindigkeit            Nicht anwendbar.</w:t>
      </w:r>
    </w:p>
    <w:p>
      <w:r>
        <w:t xml:space="preserve"/>
      </w:r>
    </w:p>
    <w:p>
      <w:r>
        <w:t xml:space="preserve">                                · Löslichkeit in / Mischbarkeit mit</w:t>
      </w:r>
    </w:p>
    <w:p>
      <w:r>
        <w:t xml:space="preserve">                   Wasser:                                 Unlöslich.</w:t>
      </w:r>
    </w:p>
    <w:p>
      <w:r>
        <w:t xml:space="preserve"/>
      </w:r>
    </w:p>
    <w:p>
      <w:r>
        <w:t xml:space="preserve">                                · Verteilungskoeffizient: n-Octanol/Wasser: Nicht bestimmt.</w:t>
      </w:r>
    </w:p>
    <w:p>
      <w:r>
        <w:t xml:space="preserve"/>
      </w:r>
    </w:p>
    <w:p>
      <w:r>
        <w:t xml:space="preserve">                                · Viskosität:</w:t>
      </w:r>
    </w:p>
    <w:p>
      <w:r>
        <w:t xml:space="preserve">                  Dynamisch:                            Nicht anwendbar.</w:t>
      </w:r>
    </w:p>
    <w:p>
      <w:r>
        <w:t xml:space="preserve">                    Kinematisch:                          Nicht anwendbar.</w:t>
      </w:r>
    </w:p>
    <w:p>
      <w:r>
        <w:t xml:space="preserve"/>
      </w:r>
    </w:p>
    <w:p>
      <w:r>
        <w:t xml:space="preserve">                                · Lösemittelgehalt:</w:t>
      </w:r>
    </w:p>
    <w:p>
      <w:r>
        <w:t xml:space="preserve">                   Organische Lösemittel:                  0,0 %</w:t>
      </w:r>
    </w:p>
    <w:p>
      <w:r>
        <w:t xml:space="preserve">             VOC (EU)                              0,00 %</w:t>
      </w:r>
    </w:p>
    <w:p>
      <w:r>
        <w:t xml:space="preserve"/>
      </w:r>
    </w:p>
    <w:p>
      <w:r>
        <w:t xml:space="preserve">                     Festkörpergehalt:                     100,0 %</w:t>
      </w:r>
    </w:p>
    <w:p>
      <w:r>
        <w:t xml:space="preserve">                                · 9.2 Sonstige Angaben                   Keine weiteren relevanten Informationen verfügbar.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>                                                                                                                                          (Fortsetzung auf Seite 5)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5</w:t>
      </w:r>
    </w:p>
    <w:p>
      <w:r>
        <w:t xml:space="preserve">                                                                                                                                     Seite: 5/6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Terbium chips (99.9% REO)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4)</w:t>
      </w:r>
    </w:p>
    <w:p>
      <w:r>
        <w:t xml:space="preserve"/>
      </w:r>
    </w:p>
    <w:p>
      <w:r>
        <w:t xml:space="preserve">           ABSCHNITT 10: Stabilität und Reaktivität</w:t>
      </w:r>
    </w:p>
    <w:p>
      <w:r>
        <w:t xml:space="preserve"/>
      </w:r>
    </w:p>
    <w:p>
      <w:r>
        <w:t xml:space="preserve">                                · 10.1 Reaktivität Keine weiteren relevanten Informationen verfügbar.</w:t>
      </w:r>
    </w:p>
    <w:p>
      <w:r>
        <w:t xml:space="preserve">                                · 10.2 Chemische Stabilität</w:t>
      </w:r>
    </w:p>
    <w:p>
      <w:r>
        <w:t xml:space="preserve">                                · Thermische Zersetzung / zu vermeidende Bedingungen:</w:t>
      </w:r>
    </w:p>
    <w:p>
      <w:r>
        <w:t xml:space="preserve">                  Keine Zersetzung bei bestimmungsgemäßer Verwendung.</w:t>
      </w:r>
    </w:p>
    <w:p>
      <w:r>
        <w:t xml:space="preserve">                                · 10.3 Möglichkeit gefährlicher Reaktionen Keine gefährlichen Reaktionen bekannt.</w:t>
      </w:r>
    </w:p>
    <w:p>
      <w:r>
        <w:t xml:space="preserve">                                · 10.4 Zu vermeidende Bedingungen Keine weiteren relevanten Informationen verfügbar.</w:t>
      </w:r>
    </w:p>
    <w:p>
      <w:r>
        <w:t xml:space="preserve">                                · 10.5 Unverträgliche Materialien: Keine weiteren relevanten Informationen verfügbar.</w:t>
      </w:r>
    </w:p>
    <w:p>
      <w:r>
        <w:t xml:space="preserve">                                · 10.6 Gefährliche Zersetzungsprodukte: Keine gefährlichen Zersetzungsprodukte bekannt.</w:t>
      </w:r>
    </w:p>
    <w:p>
      <w:r>
        <w:t xml:space="preserve"/>
      </w:r>
    </w:p>
    <w:p>
      <w:r>
        <w:t xml:space="preserve"/>
      </w:r>
    </w:p>
    <w:p>
      <w:r>
        <w:t xml:space="preserve">           ABSCHNITT 11: Toxikologische Angaben</w:t>
      </w:r>
    </w:p>
    <w:p>
      <w:r>
        <w:t xml:space="preserve"/>
      </w:r>
    </w:p>
    <w:p>
      <w:r>
        <w:t xml:space="preserve">                                · 11.1 Angaben zu toxikologischen Wirkungen</w:t>
      </w:r>
    </w:p>
    <w:p>
      <w:r>
        <w:t xml:space="preserve">                                · Akute Toxizität Aufgrund der verfügbaren Daten sind die Einstufungskriterien nicht erfüllt.</w:t>
      </w:r>
    </w:p>
    <w:p>
      <w:r>
        <w:t xml:space="preserve">                                · Primäre Reizwirkung:</w:t>
      </w:r>
    </w:p>
    <w:p>
      <w:r>
        <w:t xml:space="preserve">                                · Ätz-/Reizwirkung auf die Haut Aufgrund der verfügbaren Daten sind die Einstufungskriterien nicht erfüllt.</w:t>
      </w:r>
    </w:p>
    <w:p>
      <w:r>
        <w:t xml:space="preserve">                                · Schwere Augenschädigung/-reizung Aufgrund der verfügbaren Daten sind die Einstufungskriterien nicht erfüllt.</w:t>
      </w:r>
    </w:p>
    <w:p>
      <w:r>
        <w:t xml:space="preserve">                                · Sensibilisierung der Atemwege/Haut Aufgrund der verfügbaren Daten sind die Einstufungskriterien nicht erfüllt.</w:t>
      </w:r>
    </w:p>
    <w:p>
      <w:r>
        <w:t xml:space="preserve">                                · CMR-Wirkungen (krebserzeugende, erbgutverändernde und fortpflanzungsgefährdende Wirkung)</w:t>
      </w:r>
    </w:p>
    <w:p>
      <w:r>
        <w:t xml:space="preserve">                                · Keimzell-Mutagenität Aufgrund der verfügbaren Daten sind die Einstufungskriterien nicht erfüllt.</w:t>
      </w:r>
    </w:p>
    <w:p>
      <w:r>
        <w:t xml:space="preserve">                                · Karzinogenität Aufgrund der verfügbaren Daten sind die Einstufungskriterien nicht erfüllt.</w:t>
      </w:r>
    </w:p>
    <w:p>
      <w:r>
        <w:t xml:space="preserve">                                · Reproduktionstoxizität Aufgrund der verfügbaren Daten sind die Einstufungskriterien nicht erfüllt.</w:t>
      </w:r>
    </w:p>
    <w:p>
      <w:r>
        <w:t xml:space="preserve">                                · Spezifische Zielorgan-Toxizität bei einmaliger Exposition</w:t>
      </w:r>
    </w:p>
    <w:p>
      <w:r>
        <w:t xml:space="preserve">                  Aufgrund der verfügbaren Daten sind die Einstufungskriterien nicht erfüllt.</w:t>
      </w:r>
    </w:p>
    <w:p>
      <w:r>
        <w:t xml:space="preserve">                                · Spezifische Zielorgan-Toxizität bei wiederholter Exposition</w:t>
      </w:r>
    </w:p>
    <w:p>
      <w:r>
        <w:t xml:space="preserve">                  Aufgrund der verfügbaren Daten sind die Einstufungskriterien nicht erfüllt.</w:t>
      </w:r>
    </w:p>
    <w:p>
      <w:r>
        <w:t xml:space="preserve">                                · Aspirationsgefahr Aufgrund der verfügbaren Daten sind die Einstufungskriterien nicht erfüllt.</w:t>
      </w:r>
    </w:p>
    <w:p>
      <w:r>
        <w:t xml:space="preserve"/>
      </w:r>
    </w:p>
    <w:p>
      <w:r>
        <w:t xml:space="preserve"/>
      </w:r>
    </w:p>
    <w:p>
      <w:r>
        <w:t xml:space="preserve">           ABSCHNITT 12: Umweltbezogene Angaben</w:t>
      </w:r>
    </w:p>
    <w:p>
      <w:r>
        <w:t xml:space="preserve"/>
      </w:r>
    </w:p>
    <w:p>
      <w:r>
        <w:t xml:space="preserve">                                · 12.1 Toxizität</w:t>
      </w:r>
    </w:p>
    <w:p>
      <w:r>
        <w:t xml:space="preserve">                                · Aquatische Toxizität: Keine weiteren relevanten Informationen verfügbar.</w:t>
      </w:r>
    </w:p>
    <w:p>
      <w:r>
        <w:t xml:space="preserve">                                · 12.2 Persistenz und Abbaubarkeit Keine weiteren relevanten Informationen verfügbar.</w:t>
      </w:r>
    </w:p>
    <w:p>
      <w:r>
        <w:t xml:space="preserve">                                · 12.3 Bioakkumulationspotenzial Keine weiteren relevanten Informationen verfügbar.</w:t>
      </w:r>
    </w:p>
    <w:p>
      <w:r>
        <w:t xml:space="preserve">                                · 12.4 Mobilität im Boden Keine weiteren relevanten Informationen verfügbar.</w:t>
      </w:r>
    </w:p>
    <w:p>
      <w:r>
        <w:t xml:space="preserve">                                · Weitere ökologische Hinweise:</w:t>
      </w:r>
    </w:p>
    <w:p>
      <w:r>
        <w:t xml:space="preserve">                                · Allgemeine Hinweise: Keine Wassergefährdung bekannt.</w:t>
      </w:r>
    </w:p>
    <w:p>
      <w:r>
        <w:t xml:space="preserve">                                · 12.5 Ergebnisse der PBT- und vPvB-Beurteilung</w:t>
      </w:r>
    </w:p>
    <w:p>
      <w:r>
        <w:t xml:space="preserve">                                · PBT: Nicht anwendbar.</w:t>
      </w:r>
    </w:p>
    <w:p>
      <w:r>
        <w:t xml:space="preserve">                                · vPvB: Nicht anwendbar.</w:t>
      </w:r>
    </w:p>
    <w:p>
      <w:r>
        <w:t xml:space="preserve">                                · 12.6 Andere schädliche Wirkungen Keine weiteren relevanten Informationen verfügbar.</w:t>
      </w:r>
    </w:p>
    <w:p>
      <w:r>
        <w:t xml:space="preserve"/>
      </w:r>
    </w:p>
    <w:p>
      <w:r>
        <w:t xml:space="preserve"/>
      </w:r>
    </w:p>
    <w:p>
      <w:r>
        <w:t xml:space="preserve">           ABSCHNITT 13: Hinweise zur Entsorgung</w:t>
      </w:r>
    </w:p>
    <w:p>
      <w:r>
        <w:t xml:space="preserve"/>
      </w:r>
    </w:p>
    <w:p>
      <w:r>
        <w:t xml:space="preserve">                                · 13.1 Verfahren der Abfallbehandlung</w:t>
      </w:r>
    </w:p>
    <w:p>
      <w:r>
        <w:t xml:space="preserve">                                · Empfehlung: Darf nicht zusammen mit Hausmüll entsorgt werden. Nicht in die Kanalisation gelangen lassen.</w:t>
      </w:r>
    </w:p>
    <w:p>
      <w:r>
        <w:t xml:space="preserve">                                                                                                                                          (Fortsetzung auf Seite 6)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6</w:t>
      </w:r>
    </w:p>
    <w:p>
      <w:r>
        <w:t xml:space="preserve">                                                                                                                                     Seite: 6/6</w:t>
      </w:r>
    </w:p>
    <w:p>
      <w:r>
        <w:t xml:space="preserve">                                          Sicherheitsdatenblatt</w:t>
      </w:r>
    </w:p>
    <w:p>
      <w:r>
        <w:t xml:space="preserve">                                       gemäß 1907/2006/EG, Artikel 31</w:t>
      </w:r>
    </w:p>
    <w:p>
      <w:r>
        <w:t xml:space="preserve"/>
      </w:r>
    </w:p>
    <w:p>
      <w:r>
        <w:t xml:space="preserve">              Druckdatum: 21.07.2021                                                               überarbeitet am: 21.07.2021</w:t>
      </w:r>
    </w:p>
    <w:p>
      <w:r>
        <w:t xml:space="preserve"/>
      </w:r>
    </w:p>
    <w:p>
      <w:r>
        <w:t xml:space="preserve">             Handelsname: Terbium chips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(Fortsetzung von Seite 5)</w:t>
      </w:r>
    </w:p>
    <w:p>
      <w:r>
        <w:t xml:space="preserve"/>
      </w:r>
    </w:p>
    <w:p>
      <w:r>
        <w:t xml:space="preserve">                                · Ungereinigte Verpackungen:</w:t>
      </w:r>
    </w:p>
    <w:p>
      <w:r>
        <w:t xml:space="preserve">                                · Empfehlung: Entsorgung gemäß den behördlichen Vorschriften.</w:t>
      </w:r>
    </w:p>
    <w:p>
      <w:r>
        <w:t xml:space="preserve"/>
      </w:r>
    </w:p>
    <w:p>
      <w:r>
        <w:t xml:space="preserve"/>
      </w:r>
    </w:p>
    <w:p>
      <w:r>
        <w:t xml:space="preserve">           ABSCHNITT 14: Angaben zum Transport</w:t>
      </w:r>
    </w:p>
    <w:p>
      <w:r>
        <w:t xml:space="preserve"/>
      </w:r>
    </w:p>
    <w:p>
      <w:r>
        <w:t xml:space="preserve">                                · 14.1 UN-Nummer</w:t>
      </w:r>
    </w:p>
    <w:p>
      <w:r>
        <w:t xml:space="preserve">                                · ADR, ADN, IMDG, IATA                              entfällt</w:t>
      </w:r>
    </w:p>
    <w:p>
      <w:r>
        <w:t xml:space="preserve"/>
      </w:r>
    </w:p>
    <w:p>
      <w:r>
        <w:t xml:space="preserve">                                · 14.2 Ordnungsgemäße UN-Versandbezeichnung</w:t>
      </w:r>
    </w:p>
    <w:p>
      <w:r>
        <w:t xml:space="preserve">                                · ADR, ADN, IMDG, IATA                              entfällt</w:t>
      </w:r>
    </w:p>
    <w:p>
      <w:r>
        <w:t xml:space="preserve"/>
      </w:r>
    </w:p>
    <w:p>
      <w:r>
        <w:t xml:space="preserve">                                · 14.3 Transportgefahrenklassen</w:t>
      </w:r>
    </w:p>
    <w:p>
      <w:r>
        <w:t xml:space="preserve"/>
      </w:r>
    </w:p>
    <w:p>
      <w:r>
        <w:t xml:space="preserve">                                · ADR, ADN, IMDG, IATA</w:t>
      </w:r>
    </w:p>
    <w:p>
      <w:r>
        <w:t xml:space="preserve">                                · Klasse                                                     entfällt</w:t>
      </w:r>
    </w:p>
    <w:p>
      <w:r>
        <w:t xml:space="preserve"/>
      </w:r>
    </w:p>
    <w:p>
      <w:r>
        <w:t xml:space="preserve">                                · 14.4 Verpackungsgruppe</w:t>
      </w:r>
    </w:p>
    <w:p>
      <w:r>
        <w:t xml:space="preserve">                                · ADR, IMDG, IATA                                     entfällt</w:t>
      </w:r>
    </w:p>
    <w:p>
      <w:r>
        <w:t xml:space="preserve"/>
      </w:r>
    </w:p>
    <w:p>
      <w:r>
        <w:t xml:space="preserve">                                · 14.5 Umweltgefahren:</w:t>
      </w:r>
    </w:p>
    <w:p>
      <w:r>
        <w:t xml:space="preserve">                                · Marine pollutant:                              Nein</w:t>
      </w:r>
    </w:p>
    <w:p>
      <w:r>
        <w:t xml:space="preserve"/>
      </w:r>
    </w:p>
    <w:p>
      <w:r>
        <w:t xml:space="preserve">                                · 14.6 Besondere Vorsichtsmaßnahmen für den</w:t>
      </w:r>
    </w:p>
    <w:p>
      <w:r>
        <w:t xml:space="preserve">                 Verwender                                       Nicht anwendbar.</w:t>
      </w:r>
    </w:p>
    <w:p>
      <w:r>
        <w:t xml:space="preserve"/>
      </w:r>
    </w:p>
    <w:p>
      <w:r>
        <w:t xml:space="preserve">                                · 14.7 Massengutbeförderung gemäß Anhang II des</w:t>
      </w:r>
    </w:p>
    <w:p>
      <w:r>
        <w:t xml:space="preserve">               MARPOL-Übereinkommens und gemäß IBC-Code Nicht anwendbar.</w:t>
      </w:r>
    </w:p>
    <w:p>
      <w:r>
        <w:t xml:space="preserve"/>
      </w:r>
    </w:p>
    <w:p>
      <w:r>
        <w:t xml:space="preserve">                                · UN "Model Regulation":                              entfällt</w:t>
      </w:r>
    </w:p>
    <w:p>
      <w:r>
        <w:t xml:space="preserve"/>
      </w:r>
    </w:p>
    <w:p>
      <w:r>
        <w:t xml:space="preserve"/>
      </w:r>
    </w:p>
    <w:p>
      <w:r>
        <w:t xml:space="preserve">           ABSCHNITT 15: Rechtsvorschriften</w:t>
      </w:r>
    </w:p>
    <w:p>
      <w:r>
        <w:t xml:space="preserve"/>
      </w:r>
    </w:p>
    <w:p>
      <w:r>
        <w:t xml:space="preserve">                                · 15.1 Vorschriften zu Sicherheit, Gesundheits- und Umweltschutz/spezifische Rechtsvorschriften für den Stoff</w:t>
      </w:r>
    </w:p>
    <w:p>
      <w:r>
        <w:t xml:space="preserve">                  oder das Gemisch</w:t>
      </w:r>
    </w:p>
    <w:p>
      <w:r>
        <w:t xml:space="preserve"/>
      </w:r>
    </w:p>
    <w:p>
      <w:r>
        <w:t xml:space="preserve">                                · Richtlinie 2012/18/EU</w:t>
      </w:r>
    </w:p>
    <w:p>
      <w:r>
        <w:t xml:space="preserve">                                · Namentlich aufgeführte gefährliche Stoffe - ANHANG I Der Stoff ist nicht enthalten.</w:t>
      </w:r>
    </w:p>
    <w:p>
      <w:r>
        <w:t xml:space="preserve">                                · 15.2 Stoffsicherheitsbeurteilung: Eine Stoffsicherheitsbeurteilung wurde nicht durchgeführt.</w:t>
      </w:r>
    </w:p>
    <w:p>
      <w:r>
        <w:t xml:space="preserve"/>
      </w:r>
    </w:p>
    <w:p>
      <w:r>
        <w:t xml:space="preserve"/>
      </w:r>
    </w:p>
    <w:p>
      <w:r>
        <w:t xml:space="preserve">           ABSCHNITT 16: Sonstige Angaben</w:t>
      </w:r>
    </w:p>
    <w:p>
      <w:r>
        <w:t xml:space="preserve">                 Die Angaben stützen sich auf den heutigen Stand unserer Kenntnisse, sie stellen jedoch keine Zusicherung von</w:t>
      </w:r>
    </w:p>
    <w:p>
      <w:r>
        <w:t xml:space="preserve">                   Produkteigenschaften dar und begründen kein vertragliches Rechtsverhältnis.</w:t>
      </w:r>
    </w:p>
    <w:p>
      <w:r>
        <w:t xml:space="preserve"/>
      </w:r>
    </w:p>
    <w:p>
      <w:r>
        <w:t xml:space="preserve">                                · Datenblatt ausstellender Bereich: Technical Department.</w:t>
      </w:r>
    </w:p>
    <w:p>
      <w:r>
        <w:t xml:space="preserve">                                · Ansprechpartner: Technical Director</w:t>
      </w:r>
    </w:p>
    <w:p>
      <w:r>
        <w:t xml:space="preserve">                                · Abkürzungen und Akronyme:</w:t>
      </w:r>
    </w:p>
    <w:p>
      <w:r>
        <w:t xml:space="preserve">                  ADR: Accord européen sur le transport des marchandises dangereuses par Route (European Agreement concerning the International</w:t>
      </w:r>
    </w:p>
    <w:p>
      <w:r>
        <w:t xml:space="preserve">                       Carriage of Dangerous Goods by Road)</w:t>
      </w:r>
    </w:p>
    <w:p>
      <w:r>
        <w:t xml:space="preserve">                  IMDG: International Maritime Code for Dangerous Goods</w:t>
      </w:r>
    </w:p>
    <w:p>
      <w:r>
        <w:t xml:space="preserve">                      IATA: International Air Transport Association</w:t>
      </w:r>
    </w:p>
    <w:p>
      <w:r>
        <w:t xml:space="preserve">                   GHS: Globally Harmonised System of Classification and Labelling of Chemicals</w:t>
      </w:r>
    </w:p>
    <w:p>
      <w:r>
        <w:t xml:space="preserve">                    EINECS: European Inventory of Existing Commercial Chemical Substances</w:t>
      </w:r>
    </w:p>
    <w:p>
      <w:r>
        <w:t xml:space="preserve">                    CAS: Chemical Abstracts Service (division of the American Chemical Society)</w:t>
      </w:r>
    </w:p>
    <w:p>
      <w:r>
        <w:t xml:space="preserve">                         GefStoffV: Gefahrstoffverordnung (Ordinance on Hazardous Substances, Germany)</w:t>
      </w:r>
    </w:p>
    <w:p>
      <w:r>
        <w:t xml:space="preserve">                  VOC: Volatile Organic Compounds (USA, EU)</w:t>
      </w:r>
    </w:p>
    <w:p>
      <w:r>
        <w:t xml:space="preserve">                    PBT: Persistent, Bioaccumulative and Toxic</w:t>
      </w:r>
    </w:p>
    <w:p>
      <w:r>
        <w:t xml:space="preserve">                      vPvB: very Persistent and very Bioaccumulative</w:t>
      </w:r>
    </w:p>
    <w:p>
      <w:r>
        <w:t xml:space="preserve">                      Flam. Sol. 2: Entzündbare Feststoffe – Kategorie 2</w:t>
      </w:r>
    </w:p>
    <w:p>
      <w:r>
        <w:t xml:space="preserve">                                                                                                                                       DE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sectPr>
      <w:pgSz w:w="11906" w:h="16838"/>
      <w:pgMar w:top="1134" w:right="1134" w:bottom="1134" w:left="1134"/>
    </w:sectPr>
  </w:body>
</w:document>
</file>