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(Er) Standard Solution SRM 3116a SDS</w:t>
      </w:r>
    </w:p>
    <w:p>
      <w:r>
        <w:t xml:space="preserve">Publisher: National Institute of Standards and Technology (NIST)</w:t>
      </w:r>
    </w:p>
    <w:p>
      <w:r>
        <w:t xml:space="preserve">Source: https://resds.com/document/erbium-er-standard-solution-nist-srm-3116a-en-fe246f6423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12 September 2018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3116a</w:t>
      </w:r>
    </w:p>
    <w:p>
      <w:r>
        <w:t xml:space="preserve">  SRM Name:     Erbium (Er) Standard Solution</w:t>
      </w:r>
    </w:p>
    <w:p>
      <w:r>
        <w:t xml:space="preserve">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for use as a primary calibration standard for the quantitative</w:t>
      </w:r>
    </w:p>
    <w:p>
      <w:r>
        <w:t xml:space="preserve">    determination of erbium. A unit of SRM 3116a consists of five 10 mL sealed borosilicate glass ampoules of an</w:t>
      </w:r>
    </w:p>
    <w:p>
      <w:r>
        <w:t xml:space="preserve">     acidified aqueous solution prepared gravimetrically to contain a known mass fraction of erbium. The solution</w:t>
      </w:r>
    </w:p>
    <w:p>
      <w:r>
        <w:t xml:space="preserve">    contains less than 20% nitric acid.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 +1-703-527-3887   (International)</w:t>
      </w:r>
    </w:p>
    <w:p>
      <w:r>
        <w:t xml:space="preserve">     Website: https://www.nist.gov/srm</w:t>
      </w:r>
    </w:p>
    <w:p>
      <w:r>
        <w:t xml:space="preserve"> 2. HAZARDS IDENTIFICATION</w:t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Damage/Eye Irritation   Category 1</w:t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>    Precautionary Statement(s)</w:t>
      </w:r>
    </w:p>
    <w:p>
      <w:r>
        <w:t xml:space="preserve">    P260            Do not breathe fumes, mists, vapors, or spray.</w:t>
      </w:r>
    </w:p>
    <w:p>
      <w:r>
        <w:t xml:space="preserve">    P264             Wash hands thoroughly after handling.</w:t>
      </w:r>
    </w:p>
    <w:p>
      <w:r>
        <w:t xml:space="preserve">    P280              Wear protective gloves, protective clothing, and eye protection.</w:t>
      </w:r>
    </w:p>
    <w:p>
      <w:r>
        <w:t xml:space="preserve">   P301+P330+P331      If swallowed: Rinse mouth. Do NOT induce vomiting.</w:t>
      </w:r>
    </w:p>
    <w:p>
      <w:r>
        <w:t xml:space="preserve">   P303+P361+P353      If on skin (or hair): Remove immediately all contaminated clothing.  Rinse skin with</w:t>
      </w:r>
    </w:p>
    <w:p>
      <w:r>
        <w:t xml:space="preserve">                           water.</w:t>
      </w:r>
    </w:p>
    <w:p>
      <w:r>
        <w:t xml:space="preserve">   P304+P340              If inhaled: Remove person to fresh air and keep comfortable for breathing.</w:t>
      </w:r>
    </w:p>
    <w:p>
      <w:r>
        <w:t xml:space="preserve">   P305+P351+P338   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    P310                Immediately call a doctor.</w:t>
      </w:r>
    </w:p>
    <w:p>
      <w:r>
        <w:t xml:space="preserve">    P363             Wash contaminated clothing before reuse.</w:t>
      </w:r>
    </w:p>
    <w:p>
      <w:r>
        <w:t xml:space="preserve">    P405                 Store locked up.</w:t>
      </w:r>
    </w:p>
    <w:p>
      <w:r>
        <w:t xml:space="preserve"/>
      </w:r>
    </w:p>
    <w:p>
      <w:r>
        <w:t xml:space="preserve">SRM 3116a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P501                Dispose of contents and container according to local regulations.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Erbium in nitric acid solution</w:t>
      </w:r>
    </w:p>
    <w:p>
      <w:r>
        <w:t xml:space="preserve">Other Designations:</w:t>
      </w:r>
    </w:p>
    <w:p>
      <w:r>
        <w:t xml:space="preserve">   Nitric acid (aqua fortis; hydrogen nitrate; azotic acid; engraver’s acid)</w:t>
      </w:r>
    </w:p>
    <w:p>
      <w:r>
        <w:t xml:space="preserve">   Erbium nitrate [erbium trinitrate; erbium trinitrate hexahydrate; nitric acid, erbium (3+) salt (3:1)]</w:t>
      </w:r>
    </w:p>
    <w:p>
      <w:r>
        <w:t xml:space="preserve"/>
      </w:r>
    </w:p>
    <w:p>
      <w:r>
        <w:t xml:space="preserve">NOTE:  Erbium in nitric acid solution forms a solvated erbium nitrate salt.  The health and physical hazard</w:t>
      </w:r>
    </w:p>
    <w:p>
      <w:r>
        <w:t xml:space="preserve">information provided in this SDS are for nitric acid and erbium nitrate, a rare earth salt. No physical or chemical data</w:t>
      </w:r>
    </w:p>
    <w:p>
      <w:r>
        <w:t xml:space="preserve">are listed for this solution. The actual effects of the solution may differ from the individual components.</w:t>
      </w:r>
    </w:p>
    <w:p>
      <w:r>
        <w:t xml:space="preserve">Components are listed in compliance with OSHA’s 29 CFR 1910.1200; for the actual values see the NIST Certificate</w:t>
      </w:r>
    </w:p>
    <w:p>
      <w:r>
        <w:t xml:space="preserve">of Analysis.</w:t>
      </w:r>
    </w:p>
    <w:p>
      <w:r>
        <w:t xml:space="preserve">  Hazardous Component(s)       CAS Number     EC Number     Nominal Mass Concentration</w:t>
      </w:r>
    </w:p>
    <w:p>
      <w:r>
        <w:t xml:space="preserve">                                                (EINECS)               (%)</w:t>
      </w:r>
    </w:p>
    <w:p>
      <w:r>
        <w:t xml:space="preserve">   Nitric acid                           7697-37-2         231-714-2               &lt;20</w:t>
      </w:r>
    </w:p>
    <w:p>
      <w:r>
        <w:t xml:space="preserve">  Erbium nitrate                       10168-80-6         233-436-7                      2.1</w:t>
      </w:r>
    </w:p>
    <w:p>
      <w:r>
        <w:t xml:space="preserve"/>
      </w:r>
    </w:p>
    <w:p>
      <w:r>
        <w:t xml:space="preserve">  Non-Hazardous Component(s)</w:t>
      </w:r>
    </w:p>
    <w:p>
      <w:r>
        <w:t xml:space="preserve">  Water                               7732-18-5         231-791-2               &lt;78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immediate medical attention. Thoroughly clean and dry contaminated clothing before reuse. Destroy</w:t>
      </w:r>
    </w:p>
    <w:p>
      <w:r>
        <w:t xml:space="preserve">    contaminated shoes.</w:t>
      </w:r>
    </w:p>
    <w:p>
      <w:r>
        <w:t xml:space="preserve">   Eye Contact: Immediately flush eyes, including under the eyelids with copious amounts of water for at least</w:t>
      </w:r>
    </w:p>
    <w:p>
      <w:r>
        <w:t xml:space="preserve">    15 minutes. Seek immediate medical attention.</w:t>
      </w:r>
    </w:p>
    <w:p>
      <w:r>
        <w:t xml:space="preserve">    Ingestion: Contact a poison control center immediately for instructions. Do not induce vomiting. Give water to</w:t>
      </w:r>
    </w:p>
    <w:p>
      <w:r>
        <w:t xml:space="preserve">     rinse out mouth. Never give liquids to a person with reduced awareness or becoming unconscious.  If vomiting</w:t>
      </w:r>
    </w:p>
    <w:p>
      <w:r>
        <w:t xml:space="preserve">    occurs, keep head lower than hips to prevent aspiration.  If not breathing, give artificial respiration by qualified</w:t>
      </w:r>
    </w:p>
    <w:p>
      <w:r>
        <w:t xml:space="preserve">    personnel. Seek immediate medical attention.</w:t>
      </w:r>
    </w:p>
    <w:p>
      <w:r>
        <w:t xml:space="preserve">Most Important Symptoms/Effects, Acute and Delayed: Acid burns to skin, eyes, and lungs.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Chemical: Miscellaneous decomposition products.</w:t>
      </w:r>
    </w:p>
    <w:p>
      <w:r>
        <w:t xml:space="preserve"/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3116a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NFPA Ratings (0 = Minimal; 1 = Slight; 2 = Moderate; 3 = Serious; 4 = Severe)</w:t>
      </w:r>
    </w:p>
    <w:p>
      <w:r>
        <w:t xml:space="preserve">    Health = 3            Fire = 0          Reactivity = 0</w:t>
      </w:r>
    </w:p>
    <w:p>
      <w:r>
        <w:t xml:space="preserve"> 6. ACCIDENTAL RELEASE MEASURES</w:t>
      </w:r>
    </w:p>
    <w:p>
      <w:r>
        <w:t xml:space="preserve">Personal Precautions, Protective Equipment and Emergency Procedures:  Immediately contact emergency</w:t>
      </w:r>
    </w:p>
    <w:p>
      <w:r>
        <w:t xml:space="preserve">personnel. Keep unnecessary personnel away. Use suitable protective equipment; see Section 8, “Exposure Controls</w:t>
      </w:r>
    </w:p>
    <w:p>
      <w:r>
        <w:t xml:space="preserve">and Personal Protection”.</w:t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> 7. HANDLING AND STORAGE</w:t>
      </w:r>
    </w:p>
    <w:p>
      <w:r>
        <w:t xml:space="preserve">Safe Handling Precautions: See Section 8, “Exposure Controls and Personal Protection”. Handle glass ampoules</w:t>
      </w:r>
    </w:p>
    <w:p>
      <w:r>
        <w:t xml:space="preserve">with care.</w:t>
      </w:r>
    </w:p>
    <w:p>
      <w:r>
        <w:t xml:space="preserve">Storage:  Store and handle in accordance with  all current regulations and standards.  Keep separated from</w:t>
      </w:r>
    </w:p>
    <w:p>
      <w:r>
        <w:t xml:space="preserve">incompatible substances (see Section 10, “Stability and Reactivity”).</w:t>
      </w:r>
    </w:p>
    <w:p>
      <w:r>
        <w:t xml:space="preserve"> 8. EXPOSURE CONTROLS AND PERSONAL PROTECTION</w:t>
      </w:r>
    </w:p>
    <w:p>
      <w:r>
        <w:t xml:space="preserve"/>
      </w:r>
    </w:p>
    <w:p>
      <w:r>
        <w:t xml:space="preserve">                                       Exposure Limits</w:t>
      </w:r>
    </w:p>
    <w:p>
      <w:r>
        <w:t xml:space="preserve">  Component(s)     OSHA (PEL)         ACGIH (TLV)            NIOSH (REL)</w:t>
      </w:r>
    </w:p>
    <w:p>
      <w:r>
        <w:t xml:space="preserve">                                                                       5 mg/m3 (2 ppm) TWA                     5 mg/m3 (2 ppm)         5 mg/m3 (2 ppm) TWA   Nitric acid                                                            10 mg/m3 (4 ppm) STEL                 TWA            10 mg/m3 (4 ppm) STEL                                                                      65 mg/m3 (25 ppm) IDLH</w:t>
      </w:r>
    </w:p>
    <w:p>
      <w:r>
        <w:t xml:space="preserve"/>
      </w:r>
    </w:p>
    <w:p>
      <w:r>
        <w:t xml:space="preserve">  Erbium nitrate                       No occupational limits established.</w:t>
      </w:r>
    </w:p>
    <w:p>
      <w:r>
        <w:t xml:space="preserve"/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Respiratory Protection:   If workplace conditions warrant a respirator, a respiratory protection program that meets</w:t>
      </w:r>
    </w:p>
    <w:p>
      <w:r>
        <w:t xml:space="preserve">OSHA 29CFR 1910.134 must be followed.  Refer to NIOSH 42 CFR 84 for applicable certified respirators.</w:t>
      </w:r>
    </w:p>
    <w:p>
      <w:r>
        <w:t xml:space="preserve">Eye/Face Protection: Wear splash resistant safety goggles with a face shield. An eyewash station should be readily</w:t>
      </w:r>
    </w:p>
    <w:p>
      <w:r>
        <w:t xml:space="preserve">available near areas of use.</w:t>
      </w:r>
    </w:p>
    <w:p>
      <w:r>
        <w:t xml:space="preserve">Skin and Body Protection: Personal protective equipment for the body should be selected based on the task being</w:t>
      </w:r>
    </w:p>
    <w:p>
      <w:r>
        <w:t xml:space="preserve">performed and the risks involved and should be approved by a specialist before handling this product. Chemical-</w:t>
      </w:r>
    </w:p>
    <w:p>
      <w:r>
        <w:t xml:space="preserve">resistant gloves should be worn at all times when handling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3116a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9. PHYSICAL AND CHEMICAL PROPERTIES</w:t>
      </w:r>
    </w:p>
    <w:p>
      <w:r>
        <w:t xml:space="preserve">NOTE: The physical and chemical data provided are for the pure components.</w:t>
      </w:r>
    </w:p>
    <w:p>
      <w:r>
        <w:t xml:space="preserve"> Descriptive Properties                   Nitric acid             Erbium nitrate</w:t>
      </w:r>
    </w:p>
    <w:p>
      <w:r>
        <w:t xml:space="preserve">                                 (&lt;20 % of this SRM)           (2.1 % of this SRM)</w:t>
      </w:r>
    </w:p>
    <w:p>
      <w:r>
        <w:t xml:space="preserve">     Appearance (physical             colorless to yellow           red solid</w:t>
      </w:r>
    </w:p>
    <w:p>
      <w:r>
        <w:t xml:space="preserve">      state, color, etc.)                   liquid</w:t>
      </w:r>
    </w:p>
    <w:p>
      <w:r>
        <w:t xml:space="preserve">     Molecular Formula         HNO3                     Er(NO3)3</w:t>
      </w:r>
    </w:p>
    <w:p>
      <w:r>
        <w:t xml:space="preserve">    Molar Mass (g/mol)             63.01                      353.27</w:t>
      </w:r>
    </w:p>
    <w:p>
      <w:r>
        <w:t xml:space="preserve">    Odor                                  irritating odor               not available</w:t>
      </w:r>
    </w:p>
    <w:p>
      <w:r>
        <w:t xml:space="preserve">    Odor threshold (mg/m3)         not available                not available</w:t>
      </w:r>
    </w:p>
    <w:p>
      <w:r>
        <w:t xml:space="preserve">    pH                          1 (1 M)                     not available</w:t>
      </w:r>
    </w:p>
    <w:p>
      <w:r>
        <w:t xml:space="preserve">     Evaporation rate                not available                not applicable</w:t>
      </w:r>
    </w:p>
    <w:p>
      <w:r>
        <w:t xml:space="preserve">     Melting point/freezing          –42 ºC (–43 ºF)              not available</w:t>
      </w:r>
    </w:p>
    <w:p>
      <w:r>
        <w:t xml:space="preserve">     point</w:t>
      </w:r>
    </w:p>
    <w:p>
      <w:r>
        <w:t xml:space="preserve">     Relative Density as specific      1.5027 at 25 ºC              not available</w:t>
      </w:r>
    </w:p>
    <w:p>
      <w:r>
        <w:t xml:space="preserve">      gravity (water = 1)</w:t>
      </w:r>
    </w:p>
    <w:p>
      <w:r>
        <w:t xml:space="preserve">    Vapor Pressure (mmHg)         47.9 at 20 ºC                not available</w:t>
      </w:r>
    </w:p>
    <w:p>
      <w:r>
        <w:t xml:space="preserve">    Vapor Density (air = 1)           3.2                         not available</w:t>
      </w:r>
    </w:p>
    <w:p>
      <w:r>
        <w:t xml:space="preserve">      Viscosity                        not available                not available</w:t>
      </w:r>
    </w:p>
    <w:p>
      <w:r>
        <w:t xml:space="preserve">      Solubility(ies)                    miscible with water          miscible in water</w:t>
      </w:r>
    </w:p>
    <w:p>
      <w:r>
        <w:t xml:space="preserve">                                  and ether</w:t>
      </w:r>
    </w:p>
    <w:p>
      <w:r>
        <w:t xml:space="preserve">      Partition coefficient              not available                not available</w:t>
      </w:r>
    </w:p>
    <w:p>
      <w:r>
        <w:t xml:space="preserve">     (n-octanol/water)</w:t>
      </w:r>
    </w:p>
    <w:p>
      <w:r>
        <w:t xml:space="preserve"> Thermal Stability Properties</w:t>
      </w:r>
    </w:p>
    <w:p>
      <w:r>
        <w:t xml:space="preserve">     Autoignition Temperature       not applicable               not available</w:t>
      </w:r>
    </w:p>
    <w:p>
      <w:r>
        <w:t xml:space="preserve">    Thermal Decomposition         not applicable               not available</w:t>
      </w:r>
    </w:p>
    <w:p>
      <w:r>
        <w:t xml:space="preserve">      Initial boiling point and        83 ºC (181 ºF)               not available</w:t>
      </w:r>
    </w:p>
    <w:p>
      <w:r>
        <w:t xml:space="preserve">      boiling range</w:t>
      </w:r>
    </w:p>
    <w:p>
      <w:r>
        <w:t xml:space="preserve">     Explosive Limits, LEL           not applicable               not available</w:t>
      </w:r>
    </w:p>
    <w:p>
      <w:r>
        <w:t xml:space="preserve">     (Volume %)</w:t>
      </w:r>
    </w:p>
    <w:p>
      <w:r>
        <w:t xml:space="preserve">     Explosive Limits, UEL           not applicable               not available</w:t>
      </w:r>
    </w:p>
    <w:p>
      <w:r>
        <w:t xml:space="preserve">     (Volume %)</w:t>
      </w:r>
    </w:p>
    <w:p>
      <w:r>
        <w:t xml:space="preserve">     Flash Point                      not applicable               not available</w:t>
      </w:r>
    </w:p>
    <w:p>
      <w:r>
        <w:t xml:space="preserve">     Flammability (solid, gas)         not applicable               not available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>Reactivity: Stable at normal temperatures and pressure.</w:t>
      </w:r>
    </w:p>
    <w:p>
      <w:r>
        <w:t xml:space="preserve">      Stability:   X    Stable               Unstable</w:t>
      </w:r>
    </w:p>
    <w:p>
      <w:r>
        <w:t xml:space="preserve">Possible Hazardous Reactions: None listed.</w:t>
      </w:r>
    </w:p>
    <w:p>
      <w:r>
        <w:t xml:space="preserve">Conditions to Avoid: Contact with combustible or incompatible materials.</w:t>
      </w:r>
    </w:p>
    <w:p>
      <w:r>
        <w:t xml:space="preserve">Incompatible Materials:  Acids, combustible materials, halo carbons, amines, bases, oxidizing materials, metals,</w:t>
      </w:r>
    </w:p>
    <w:p>
      <w:r>
        <w:t xml:space="preserve">halogens, metal salts, metal oxides, reducing agents, peroxides, metal carbide, cyanides.</w:t>
      </w:r>
    </w:p>
    <w:p>
      <w:r>
        <w:t xml:space="preserve">Fire/Explosion Information: See Section 5, “Fire Fighting Measures”.</w:t>
      </w:r>
    </w:p>
    <w:p>
      <w:r>
        <w:t xml:space="preserve">Hazardous Decomposition:   Thermal decomposition  will produce oxides  of  nitrogen, erbium, and  other</w:t>
      </w:r>
    </w:p>
    <w:p>
      <w:r>
        <w:t xml:space="preserve">miscellaneous decomposition products.</w:t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3116a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Route of Exposure:    X    Inhalation     X    Skin        X    Ingestion</w:t>
      </w:r>
    </w:p>
    <w:p>
      <w:r>
        <w:t xml:space="preserve">Symptoms Related to the Physical, Chemical and Toxicological Characteristics: Acid burns to skin, eyes, and</w:t>
      </w:r>
    </w:p>
    <w:p>
      <w:r>
        <w:t xml:space="preserve">lungs.</w:t>
      </w:r>
    </w:p>
    <w:p>
      <w:r>
        <w:t xml:space="preserve">Potential Health Effects (Acute, Chronic and Delayed):</w:t>
      </w:r>
    </w:p>
    <w:p>
      <w:r>
        <w:t xml:space="preserve">    Inhalation: Inhalation of acid fumes can damage the mucous membranes and upper respiratory tract. Short term</w:t>
      </w:r>
    </w:p>
    <w:p>
      <w:r>
        <w:t xml:space="preserve">    exposure may cause irritation and inflammation of the upper respiratory tract, coughing, choking, sore throat,</w:t>
      </w:r>
    </w:p>
    <w:p>
      <w:r>
        <w:t xml:space="preserve">    shortness of breath, headache, dizziness, and nausea. Long term exposure to acid fumes may cause damage to</w:t>
      </w:r>
    </w:p>
    <w:p>
      <w:r>
        <w:t xml:space="preserve">     teeth, bronchial irritation, chronic cough, bronchial pneumonia, and gastrointestinal disturbances.</w:t>
      </w:r>
    </w:p>
    <w:p>
      <w:r>
        <w:t xml:space="preserve">    Skin Contact:  Nitric acid can cause severe skin burns. Severity of the damage depends on the concentration</w:t>
      </w:r>
    </w:p>
    <w:p>
      <w:r>
        <w:t xml:space="preserve">    and duration of exposure. Effects of acid burns may be delayed.</w:t>
      </w:r>
    </w:p>
    <w:p>
      <w:r>
        <w:t xml:space="preserve">   Eye Contact:  Nitric acid can cause severe eye irritation, corneal burns, permanent eye damage, or blindness.</w:t>
      </w:r>
    </w:p>
    <w:p>
      <w:r>
        <w:t xml:space="preserve">    Severity of the damage depends on the concentration and duration of exposure.</w:t>
      </w:r>
    </w:p>
    <w:p>
      <w:r>
        <w:t xml:space="preserve">    Ingestion:  If ingested, nitric acid can cause severe burns and damage to the gastrointestinal tract.</w:t>
      </w:r>
    </w:p>
    <w:p>
      <w:r>
        <w:t xml:space="preserve">Numerical Measures of Toxicity</w:t>
      </w:r>
    </w:p>
    <w:p>
      <w:r>
        <w:t xml:space="preserve">    Acute Toxicity: Not classified.</w:t>
      </w:r>
    </w:p>
    <w:p>
      <w:r>
        <w:t xml:space="preserve">         Nitric acid: Rat, Inhalation LC50: 130 mg/m3 (4 h)</w:t>
      </w:r>
    </w:p>
    <w:p>
      <w:r>
        <w:t xml:space="preserve">       Erbium nitrate: No data available.</w:t>
      </w:r>
    </w:p>
    <w:p>
      <w:r>
        <w:t xml:space="preserve">    Skin Corrosion/Irritation: This SRM contains &gt;1 % of nitric acid and it is classified as Category 1B.</w:t>
      </w:r>
    </w:p>
    <w:p>
      <w:r>
        <w:t xml:space="preserve">    Serious Eye Damage/Eye Irritation: This SRM contains &gt;1 % nitric acid and it is classified as Category 1.</w:t>
      </w:r>
    </w:p>
    <w:p>
      <w:r>
        <w:t xml:space="preserve">    Respiratory Sensitization: No data available.</w:t>
      </w:r>
    </w:p>
    <w:p>
      <w:r>
        <w:t xml:space="preserve">    Skin Sensitization: No data available.</w:t>
      </w:r>
    </w:p>
    <w:p>
      <w:r>
        <w:t xml:space="preserve">   Germ Cell Mutagenicity: No data available.</w:t>
      </w:r>
    </w:p>
    <w:p>
      <w:r>
        <w:t xml:space="preserve">    Carcinogenicity: Not classified.</w:t>
      </w:r>
    </w:p>
    <w:p>
      <w:r>
        <w:t xml:space="preserve">        Listed as a Carcinogen/Potential Carcinogen           Yes       X   No</w:t>
      </w:r>
    </w:p>
    <w:p>
      <w:r>
        <w:t xml:space="preserve">         Nitric acid and erbium nitrate are not listed by NTP, IARC or OSHA as carcinogens/potential carcinogens.</w:t>
      </w:r>
    </w:p>
    <w:p>
      <w:r>
        <w:t xml:space="preserve">    Reproductive Toxicity: Not classified.</w:t>
      </w:r>
    </w:p>
    <w:p>
      <w:r>
        <w:t xml:space="preserve">         Nitric acid: Rat, Oral TDLo: 21 150 mg/kg (pregnant 1 d to 21 d)</w:t>
      </w:r>
    </w:p>
    <w:p>
      <w:r>
        <w:t xml:space="preserve">                     Rat, Oral TDLo: 2345 mg/kg (pregnant 18 d)</w:t>
      </w:r>
    </w:p>
    <w:p>
      <w:r>
        <w:t xml:space="preserve">    Specific Target Organ Toxicity, Single Exposure: No data available.</w:t>
      </w:r>
    </w:p>
    <w:p>
      <w:r>
        <w:t xml:space="preserve">    Specific Target Organ Toxicity, Repeated Exposure: No data available.</w:t>
      </w:r>
    </w:p>
    <w:p>
      <w:r>
        <w:t xml:space="preserve">    Aspiration Hazard: No data available.</w:t>
      </w:r>
    </w:p>
    <w:p>
      <w:r>
        <w:t xml:space="preserve"> 12. ECOLOGICAL INFORMATION</w:t>
      </w:r>
    </w:p>
    <w:p>
      <w:r>
        <w:t xml:space="preserve">Ecotoxicity Data</w:t>
      </w:r>
    </w:p>
    <w:p>
      <w:r>
        <w:t xml:space="preserve">    Nitric acid: Fish, hooknose or pogge (Agonus cataphractus) LC50: 100 mg/L to 330 mg/L (48 h)</w:t>
      </w:r>
    </w:p>
    <w:p>
      <w:r>
        <w:t xml:space="preserve">   Erbium nitrate: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 Subject to</w:t>
      </w:r>
    </w:p>
    <w:p>
      <w:r>
        <w:t xml:space="preserve">disposal regulations: U.S. EPA 40 CFR 262, Hazardous Waste Numbers: nitric acid (D001, D002).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3116a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14. TRANSPORTATION INFORMATION</w:t>
      </w:r>
    </w:p>
    <w:p>
      <w:r>
        <w:t xml:space="preserve">U.S. DOT and IATA: UN1760, Corrosive liquid, n.o.s. (contains nitric acid), Hazard Class 8, Packing Group II.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 Nitric acid, 1000 lbs. (454 kg) final RQ</w:t>
      </w:r>
    </w:p>
    <w:p>
      <w:r>
        <w:t xml:space="preserve">  SARA Title III Section 302 (40 CFR 355.30):  Nitric acid, 1000 lbs. (454 kg) TPQ</w:t>
      </w:r>
    </w:p>
    <w:p>
      <w:r>
        <w:t xml:space="preserve">  SARA Title III Section 304 (40 CFR 355.40):  Nitric acid, 1000 lbs. (454 kg) EPCRA RQ</w:t>
      </w:r>
    </w:p>
    <w:p>
      <w:r>
        <w:t xml:space="preserve">  SARA Title III Section 313 (40 CFR 372.65):  1 % de minimis concentration for nitric acid.</w:t>
      </w:r>
    </w:p>
    <w:p>
      <w:r>
        <w:t xml:space="preserve">  OSHA Process Safety (29 CFR 1910.119):     Regulated for nitric acid at higher concentrations</w:t>
      </w:r>
    </w:p>
    <w:p>
      <w:r>
        <w:t xml:space="preserve">                                         500 lbs. TQ (≥94.5 % by weight).</w:t>
      </w:r>
    </w:p>
    <w:p>
      <w:r>
        <w:t xml:space="preserve">  SARA Title III Sections 311/312 Hazardous Categories (40 CFR 370.21):</w:t>
      </w:r>
    </w:p>
    <w:p>
      <w:r>
        <w:t xml:space="preserve">     ACUTE HEALTH:       Yes</w:t>
      </w:r>
    </w:p>
    <w:p>
      <w:r>
        <w:t xml:space="preserve">      CHRONIC HEALTH:    No</w:t>
      </w:r>
    </w:p>
    <w:p>
      <w:r>
        <w:t xml:space="preserve">       FIRE:               No</w:t>
      </w:r>
    </w:p>
    <w:p>
      <w:r>
        <w:t xml:space="preserve">      REACTIVE:           No</w:t>
      </w:r>
    </w:p>
    <w:p>
      <w:r>
        <w:t xml:space="preserve">      PRESSURE:           No</w:t>
      </w:r>
    </w:p>
    <w:p>
      <w:r>
        <w:t xml:space="preserve">State Regulations: Not listed under California Proposition 65.</w:t>
      </w:r>
    </w:p>
    <w:p>
      <w:r>
        <w:t xml:space="preserve">U.S. TSCA Inventory: Nitric acid and erbium nitrate are listed.</w:t>
      </w:r>
    </w:p>
    <w:p>
      <w:r>
        <w:t xml:space="preserve">TSCA 12(b), Export Notification: Not listed.</w:t>
      </w:r>
    </w:p>
    <w:p>
      <w:r>
        <w:t xml:space="preserve">Canadian Regulations: WHMIS Information is not provided for this material.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3116a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16. OTHER INFORMATION</w:t>
      </w:r>
    </w:p>
    <w:p>
      <w:r>
        <w:t xml:space="preserve">Issue Date: 12 September 2018</w:t>
      </w:r>
    </w:p>
    <w:p>
      <w:r>
        <w:t xml:space="preserve">Sources:   ChemADVISOR, Inc., SDS Nitric Acid, 09 December 2015.</w:t>
      </w:r>
    </w:p>
    <w:p>
      <w:r>
        <w:t xml:space="preserve">         ChemADVISOR, Inc., SDS Erbium Nitrate, 09 December 2015.</w:t>
      </w:r>
    </w:p>
    <w:p>
      <w:r>
        <w:t xml:space="preserve">         CDC; NIOSH; NIOSH Pocket Guide to Chemical Hazards; Department of Health and Human</w:t>
      </w:r>
    </w:p>
    <w:p>
      <w:r>
        <w:t xml:space="preserve">             Services (DHHS), Centers for Disease Control and Prevention (CDC), National Institute for Safety and</w:t>
      </w:r>
    </w:p>
    <w:p>
      <w:r>
        <w:t xml:space="preserve">             Health;  Nitric Acid,  11 April 2016;  available  at  https://www.cdc.gov/niosh/npg/npgd0447.html</w:t>
      </w:r>
    </w:p>
    <w:p>
      <w:r>
        <w:t xml:space="preserve">             (accessed Sep 2018).</w:t>
      </w:r>
    </w:p>
    <w:p>
      <w:r>
        <w:t xml:space="preserve">           Hazardous Substances Data Bank (HSDB), National Library of Medicine's TOXNET system, Nitric</w:t>
      </w:r>
    </w:p>
    <w:p>
      <w:r>
        <w:t xml:space="preserve">            Acid CAS No. 7697-37-2; available at https://toxnet.nlm.nih.gov (accessed Sep 2018).</w:t>
      </w:r>
    </w:p>
    <w:p>
      <w:r>
        <w:t xml:space="preserve">           ChemIDplus  Advanced,  National  Library  of  Medicine's TOXNET  system,  Erbium  Nitrate</w:t>
      </w:r>
    </w:p>
    <w:p>
      <w:r>
        <w:t xml:space="preserve">         CAS No. 10168-80-6; available at https://chem.sis.nlm.nih.gov/chemidplus/ (accessed Sep 2018).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Chemical Abstracts Service                 OSHA         Occupational Safety and Health Administration</w:t>
      </w:r>
    </w:p>
    <w:p>
      <w:r>
        <w:t xml:space="preserve"> CERCLA     Comprehensive Environmental Response,         PEL           Permissible Exposure Limit</w:t>
      </w:r>
    </w:p>
    <w:p>
      <w:r>
        <w:t xml:space="preserve">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DOT         Department of Transportation 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Association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LC50          Lethal Concentration, 50 %                   STEL          Short Term Exposure Limit</w:t>
      </w:r>
    </w:p>
    <w:p>
      <w:r>
        <w:t xml:space="preserve"> LD50          Lethal Dose, 50 %                        STOT          Specific Target Organ Toxicity</w:t>
      </w:r>
    </w:p>
    <w:p>
      <w:r>
        <w:t xml:space="preserve"> LEL         Lower Explosive Limit                    TLm          Threshold Limit, median</w:t>
      </w:r>
    </w:p>
    <w:p>
      <w:r>
        <w:t xml:space="preserve"> MSDS         Material Safety Data Sheet                  TLV          Threshold Limit Value</w:t>
      </w:r>
    </w:p>
    <w:p>
      <w:r>
        <w:t xml:space="preserve"> NFPA         National Fire Protection Association            TPQ          Threshold Planning Quantity</w:t>
      </w:r>
    </w:p>
    <w:p>
      <w:r>
        <w:t xml:space="preserve"> NIOSH        National Institute for Occupational Safety and Health  TSCA         Toxic Substances Control Act</w:t>
      </w:r>
    </w:p>
    <w:p>
      <w:r>
        <w:t xml:space="preserve"> NIST          National Institute of Standards and Technology     TWA        Time Weighted Average</w:t>
      </w:r>
    </w:p>
    <w:p>
      <w:r>
        <w:t xml:space="preserve">  n.o.s.         Not Otherwise Specified         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certified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https://www.nist.gov/srm.</w:t>
      </w:r>
    </w:p>
    <w:p>
      <w:r>
        <w:t xml:space="preserve"/>
      </w:r>
    </w:p>
    <w:p>
      <w:r>
        <w:t xml:space="preserve">SRM 3116a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