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Nickel-64 SDS</w:t>
      </w:r>
    </w:p>
    <w:p>
      <w:r>
        <w:t xml:space="preserve">Publisher: Neonest AB</w:t>
      </w:r>
    </w:p>
    <w:p>
      <w:r>
        <w:t xml:space="preserve">Source: https://resds.com/document/nickel-64-isotope-sds-ni-64-64ni-nickel-oxide-enriched-nickel-oxide-2437a62d3c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Nickel Oxide. </w:t>
      </w:r>
    </w:p>
    <w:p>
      <w:r>
        <w:t xml:space="preserve">Molecular weight:   74.69 </w:t>
      </w:r>
    </w:p>
    <w:p>
      <w:r>
        <w:t xml:space="preserve">Chemical formula:   NiO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Sensitizer (Category 1)   H317 </w:t>
      </w:r>
    </w:p>
    <w:p>
      <w:r>
        <w:t xml:space="preserve">Carcinogenicity (Category 1A)   H350 </w:t>
      </w:r>
    </w:p>
    <w:p>
      <w:r>
        <w:t xml:space="preserve">STOT RE (Category 1)   H372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2/10 </w:t>
      </w:r>
    </w:p>
    <w:p>
      <w:r>
        <w:t xml:space="preserve">Signal Words:   Danger. </w:t>
      </w:r>
    </w:p>
    <w:p>
      <w:r>
        <w:t xml:space="preserve">H317 May cause an allergic reaction. </w:t>
      </w:r>
    </w:p>
    <w:p>
      <w:r>
        <w:t xml:space="preserve">H350 May cause cancer by inhalation. </w:t>
      </w:r>
    </w:p>
    <w:p>
      <w:r>
        <w:t xml:space="preserve">H372 Causes damage to organs through prolonged or repeated exposure. </w:t>
      </w:r>
    </w:p>
    <w:p>
      <w:r>
        <w:t xml:space="preserve">H413 May cause long lasting effects to aquatic life.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Nickel monoxide </w:t>
      </w:r>
    </w:p>
    <w:p>
      <w:r>
        <w:t xml:space="preserve">1313-99-1 </w:t>
      </w:r>
    </w:p>
    <w:p>
      <w:r>
        <w:t xml:space="preserve">74.69   &gt;99% </w:t>
      </w:r>
    </w:p>
    <w:p>
      <w:r>
        <w:t xml:space="preserve">Skin Sens. 1   H317</w:t>
      </w:r>
    </w:p>
    <w:p>
      <w:r>
        <w:t xml:space="preserve">STOT RE 1   H372 </w:t>
      </w:r>
    </w:p>
    <w:p>
      <w:r>
        <w:t xml:space="preserve">Aquatic Chronic 4H413 </w:t>
      </w:r>
    </w:p>
    <w:p>
      <w:r>
        <w:t xml:space="preserve">Carc. 1A H350 </w:t>
      </w:r>
    </w:p>
    <w:p>
      <w:r>
        <w:t xml:space="preserve">215-215-7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In case of contact, immediately wash skin with soap and copious amounts of water. Take</w:t>
      </w:r>
    </w:p>
    <w:p>
      <w:r>
        <w:t xml:space="preserve">victim immediately to hospital. Consult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Consult a physician. </w:t>
      </w:r>
    </w:p>
    <w:p>
      <w:r>
        <w:t xml:space="preserve">In case of ingestion:   Never give anything by mouth to an unconscious person. Rinse mouth </w:t>
      </w:r>
    </w:p>
    <w:p>
      <w:r>
        <w:t xml:space="preserve">with water. Consult a physician.</w:t>
      </w:r>
    </w:p>
    <w:p>
      <w:r>
        <w:rPr>
          <w:b/>
        </w:rPr>
        <w:t xml:space="preserve">Page 3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3/10 </w:t>
      </w:r>
    </w:p>
    <w:p>
      <w:r>
        <w:t xml:space="preserve">Most important symptoms and effects, both acute and delayed: </w:t>
      </w:r>
    </w:p>
    <w:p>
      <w:r>
        <w:t xml:space="preserve">Skin contact:   May cause an allergic skin reaction.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Nickel/nickel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dust, vapor, mist or</w:t>
      </w:r>
    </w:p>
    <w:p>
      <w:r>
        <w:t xml:space="preserve">gas. Ensure adequate ventilation. 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suitable closed container and hold for waste disposal. Avoid raising</w:t>
      </w:r>
    </w:p>
    <w:p>
      <w:r>
        <w:t xml:space="preserve">dust.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Further processing</w:t>
      </w:r>
    </w:p>
    <w:p>
      <w:r>
        <w:t xml:space="preserve">of solid materials may result in the formation of combustible dusts. The potential for combustible dust formation</w:t>
      </w:r>
    </w:p>
    <w:p>
      <w:r>
        <w:t xml:space="preserve">should be taken into consideration before additional processing occurs.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dry, well-ventilated place. Storage </w:t>
      </w:r>
    </w:p>
    <w:p>
      <w:r>
        <w:t xml:space="preserve">class (TRGS 510): Non-combustible, acute toxic Category 3 / toxic hazardous materials or hazardous materials causing</w:t>
      </w:r>
    </w:p>
    <w:p>
      <w:r>
        <w:t xml:space="preserve">chronic effects.</w:t>
      </w:r>
    </w:p>
    <w:p>
      <w:r>
        <w:rPr>
          <w:b/>
        </w:rPr>
        <w:t xml:space="preserve">Page 4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Component   CAS No.   Value   Control Parameters   Basis </w:t>
      </w:r>
    </w:p>
    <w:p>
      <w:r>
        <w:t xml:space="preserve">Nickel   1313-99-1   TWA   1.000000 mg/m 3   USA. Occupational Exposure Limits (OSHA) </w:t>
      </w:r>
    </w:p>
    <w:p>
      <w:r>
        <w:t xml:space="preserve">TWA   0.015000 mg/m   USA. NIOSH Recommended Exposure Limits </w:t>
      </w:r>
    </w:p>
    <w:p>
      <w:r>
        <w:t xml:space="preserve">TWA   0.200000 mg/m 3   USA. ACGIH Threshold Limit Values (TLV) </w:t>
      </w:r>
    </w:p>
    <w:p>
      <w:r>
        <w:t xml:space="preserve">TWA   1 mg/m 3   USA. Occupational Exposure Limits (OSHA) </w:t>
      </w:r>
    </w:p>
    <w:p>
      <w:r>
        <w:t xml:space="preserve">TWA   0.2 mg/m 3   USA. ACGIH Threshold Limit Values (TLV) </w:t>
      </w:r>
    </w:p>
    <w:p>
      <w:r>
        <w:t xml:space="preserve">TWA   0.015 mg/m 3   USA. NIOSH Recommended Exposure Limits </w:t>
      </w:r>
    </w:p>
    <w:p>
      <w:r>
        <w:t xml:space="preserve">Exposure controls: </w:t>
      </w:r>
    </w:p>
    <w:p>
      <w:r>
        <w:t xml:space="preserve">Appropriate engineering controls:   Handle in accordance with good industrial hygiene and safety practice. Wash hands</w:t>
      </w:r>
    </w:p>
    <w:p>
      <w:r>
        <w:t xml:space="preserve">before breaks and at the end of the workday.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glasses.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Complete suit protecting against chemicals.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Use</w:t>
      </w:r>
    </w:p>
    <w:p>
      <w:r>
        <w:t xml:space="preserve">respirators and components tested and approved under appropriate government standards such as NIOSH (US) or</w:t>
      </w:r>
    </w:p>
    <w:p>
      <w:r>
        <w:t xml:space="preserve">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Dark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74.69 </w:t>
      </w:r>
    </w:p>
    <w:p>
      <w:r>
        <w:t xml:space="preserve">pH (concentration):   No data available. </w:t>
      </w:r>
    </w:p>
    <w:p>
      <w:r>
        <w:t xml:space="preserve">Melting point/range (° C):   1 955 -   2 090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</w:t>
      </w:r>
    </w:p>
    <w:p>
      <w:r>
        <w:rPr>
          <w:b/>
        </w:rPr>
        <w:t xml:space="preserve">Page 5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5/10 </w:t>
      </w:r>
    </w:p>
    <w:p>
      <w:r>
        <w:t xml:space="preserve">Vapour density:   No data available. </w:t>
      </w:r>
    </w:p>
    <w:p>
      <w:r>
        <w:t xml:space="preserve">Relative densi ty (25 ° C):   6.67 g/mL at 25   ° C </w:t>
      </w:r>
    </w:p>
    <w:p>
      <w:r>
        <w:t xml:space="preserve">Water solubility (g/L ) at 20 ° C:   0.00003 g/l at 20   ° C (68   ° F)   –   OECD Test Guideline 105   –   practically insoluble. </w:t>
      </w:r>
    </w:p>
    <w:p>
      <w:r>
        <w:t xml:space="preserve">n-Octanol/Water partition coefficient : No data available. </w:t>
      </w:r>
    </w:p>
    <w:p>
      <w:r>
        <w:t xml:space="preserve">Auto-ignition temperature:   &gt; 400  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 </w:t>
      </w:r>
    </w:p>
    <w:p>
      <w:r>
        <w:t xml:space="preserve">LD 50   Oral   –   Rat   –   Female - &gt;11,000 mg/kg (OECD Test Guideline 425) </w:t>
      </w:r>
    </w:p>
    <w:p>
      <w:r>
        <w:t xml:space="preserve">Inhalation: No data available </w:t>
      </w:r>
    </w:p>
    <w:p>
      <w:r>
        <w:t xml:space="preserve">Dermal: No data available </w:t>
      </w:r>
    </w:p>
    <w:p>
      <w:r>
        <w:t xml:space="preserve">LD 50   Subcutaneous   –   Mouse   –   50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an allergic skin reaction.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  –   Rat   –   Male and Female   –   Inhalation </w:t>
      </w:r>
    </w:p>
    <w:p>
      <w:r>
        <w:t xml:space="preserve">Lungs, Thorax or Respiration: Bronchiogenic carcinoma </w:t>
      </w:r>
    </w:p>
    <w:p>
      <w:r>
        <w:t xml:space="preserve">This product is or contains a component that has been reported to be carcinogenic based on its IARC, OSHA, ACGIH,</w:t>
      </w:r>
    </w:p>
    <w:p>
      <w:r>
        <w:t xml:space="preserve">NTP or EPA classification. </w:t>
      </w:r>
    </w:p>
    <w:p>
      <w:r>
        <w:t xml:space="preserve">Human carcinogen. </w:t>
      </w:r>
    </w:p>
    <w:p>
      <w:r>
        <w:t xml:space="preserve">IARC: 1   –   Group 1: Carcinogenic to humans (Nickel monoxide) </w:t>
      </w:r>
    </w:p>
    <w:p>
      <w:r>
        <w:t xml:space="preserve">NTP: Known to be a human carcinogen (Nickel monoxide)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NOEC (32 days) 35 -   431 000 μg/L </w:t>
      </w:r>
    </w:p>
    <w:p>
      <w:r>
        <w:t xml:space="preserve">NOEC (30 days) 108.9 μg/L </w:t>
      </w:r>
    </w:p>
    <w:p>
      <w:r>
        <w:t xml:space="preserve">NOEC (8 days) 40 -   80 μg/L </w:t>
      </w:r>
    </w:p>
    <w:p>
      <w:r>
        <w:t xml:space="preserve">LOEC (32 days) 35 -   3 730 μg/L </w:t>
      </w:r>
    </w:p>
    <w:p>
      <w:r>
        <w:t xml:space="preserve">LOEC (30 days) 433.5 μg/L </w:t>
      </w:r>
    </w:p>
    <w:p>
      <w:r>
        <w:t xml:space="preserve">Toxicity to daphnia and other aquatic invertebrates: </w:t>
      </w:r>
    </w:p>
    <w:p>
      <w:r>
        <w:t xml:space="preserve">NOEC (8 months) 66 μg/L </w:t>
      </w:r>
    </w:p>
    <w:p>
      <w:r>
        <w:t xml:space="preserve">NOEC (4.233 months) 713 μg/L </w:t>
      </w:r>
    </w:p>
    <w:p>
      <w:r>
        <w:t xml:space="preserve">NOEC (56 days) 40 -   120 μg/L </w:t>
      </w:r>
    </w:p>
    <w:p>
      <w:r>
        <w:t xml:space="preserve">NOEC (42 days) 40 μg/L </w:t>
      </w:r>
    </w:p>
    <w:p>
      <w:r>
        <w:t xml:space="preserve">NOEC (36 days) 61 μg/L </w:t>
      </w:r>
    </w:p>
    <w:p>
      <w:r>
        <w:t xml:space="preserve">Persistence and degradability:   No data available. </w:t>
      </w:r>
    </w:p>
    <w:p>
      <w:r>
        <w:t xml:space="preserve">Bioaccumulative potential:   Bioaccumulation:   Fucus vesiculosus   –   21 days   –   0.00001 mg/l </w:t>
      </w:r>
    </w:p>
    <w:p>
      <w:r>
        <w:t xml:space="preserve">Bioconcentration factor (BCF): 675 (Tested according to Annex V of Directive 67/548/EEC) </w:t>
      </w:r>
    </w:p>
    <w:p>
      <w:r>
        <w:t xml:space="preserve">Remarks: The product may be accumulated in organisms.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</w:t>
      </w:r>
    </w:p>
    <w:p>
      <w:r>
        <w:t xml:space="preserve">handling or disposal.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7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Nickel monoxide, CAS No. 1313-99-1,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Nickel monoxide, CAS No. 1313-99-1, Revision Date 1993-04-24. </w:t>
      </w:r>
    </w:p>
    <w:p>
      <w:r>
        <w:t xml:space="preserve">Pennsylvania Right To Know Components:   Nickel monoxide, CAS No. 1313-99-1, Revision Date 1993-04-24. </w:t>
      </w:r>
    </w:p>
    <w:p>
      <w:r>
        <w:t xml:space="preserve">New Jersey Right To Know Components:   Nickel monoxide, CAS No. 1313-99-1,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Nickel monoxide, CAS No. 1313-99-1, Revision Date 2007-09-28.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9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9/10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</w:t>
      </w:r>
    </w:p>
    <w:p>
      <w:r>
        <w:rPr>
          <w:b/>
        </w:rPr>
        <w:t xml:space="preserve">Page 10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10/10 </w:t>
      </w:r>
    </w:p>
    <w:p>
      <w:r>
        <w:t xml:space="preserve">H413 May cause long lasting effects to aquatic life.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