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Rubidium-85 SDS</w:t>
      </w:r>
    </w:p>
    <w:p>
      <w:r>
        <w:t xml:space="preserve">Publisher: Neonest AB</w:t>
      </w:r>
    </w:p>
    <w:p>
      <w:r>
        <w:t xml:space="preserve">Source: https://resds.com/document/rubidium-85-isotope-sds-rb-85-85rb-rubidium-chloride-enriched-rubidium-chloride-e9144a7296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Chloride, Enriched Rubidium. </w:t>
      </w:r>
    </w:p>
    <w:p>
      <w:r>
        <w:t xml:space="preserve">Molecular weight:   120.92 </w:t>
      </w:r>
    </w:p>
    <w:p>
      <w:r>
        <w:t xml:space="preserve">Chemical formula:   RbCl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chloride </w:t>
      </w:r>
    </w:p>
    <w:p>
      <w:r>
        <w:t xml:space="preserve">7791-11-9 </w:t>
      </w:r>
    </w:p>
    <w:p>
      <w:r>
        <w:t xml:space="preserve">120.92   &gt;99%   Not Classified. </w:t>
      </w:r>
    </w:p>
    <w:p>
      <w:r>
        <w:t xml:space="preserve">232-240-9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Ingestion of large amounts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agent most appropriate to extinguish fire. Use water spray, dry chemical, carbon</w:t>
      </w:r>
    </w:p>
    <w:p>
      <w:r>
        <w:t xml:space="preserve">dioxide,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Use with adequate ventilation. Minimize dust generation</w:t>
      </w:r>
    </w:p>
    <w:p>
      <w:r>
        <w:t xml:space="preserve">and accumulation. Avoid contact with eyes, skin, and clothing. Keep container tightly closed. Avoid ingestion and</w:t>
      </w:r>
    </w:p>
    <w:p>
      <w:r>
        <w:t xml:space="preserve">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 CFR 1910.134 or European Standard EN</w:t>
      </w:r>
    </w:p>
    <w:p>
      <w:r>
        <w:t xml:space="preserve">149. Always use a NIOSH or European Standard EN 149 approved respirator when necessary.</w:t>
      </w:r>
    </w:p>
    <w:p>
      <w:r>
        <w:rPr>
          <w:b/>
        </w:rPr>
        <w:t xml:space="preserve">Page 4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120.92 </w:t>
      </w:r>
    </w:p>
    <w:p>
      <w:r>
        <w:t xml:space="preserve">pH (concentration):   No data available. </w:t>
      </w:r>
    </w:p>
    <w:p>
      <w:r>
        <w:t xml:space="preserve">Melting point/range (° C):   718   °C </w:t>
      </w:r>
    </w:p>
    <w:p>
      <w:r>
        <w:t xml:space="preserve">Boiling point/range (° C):   1390 °C @ 760.00 mm Hg 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2.8000g/cm 3 </w:t>
      </w:r>
    </w:p>
    <w:p>
      <w:r>
        <w:t xml:space="preserve">Water solubility (g/L ) at 20 ° C:   910 g/l (20 c)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  heat, exposure to moist   air or water . </w:t>
      </w:r>
    </w:p>
    <w:p>
      <w:r>
        <w:t xml:space="preserve">Incompatible materials:   Moisture. </w:t>
      </w:r>
    </w:p>
    <w:p>
      <w:r>
        <w:t xml:space="preserve">Hazardous decomposition products:   Irritating and toxic fumes and gases, oxides of rubidium.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 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 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</w:t>
      </w:r>
    </w:p>
    <w:p>
      <w:r>
        <w:rPr>
          <w:b/>
        </w:rPr>
        <w:t xml:space="preserve">Page 6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7/9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311/312 Hazards. </w:t>
      </w:r>
    </w:p>
    <w:p>
      <w:r>
        <w:t xml:space="preserve">Massachusetts Right to Know Components:   No components are subject to the Massachusetts Right to Know Act </w:t>
      </w:r>
    </w:p>
    <w:p>
      <w:r>
        <w:t xml:space="preserve">Pennsylvania Right to Know Components:   Rubidium chloride / CAS No. 7791-11-9 </w:t>
      </w:r>
    </w:p>
    <w:p>
      <w:r>
        <w:t xml:space="preserve">New Jersey Right to Know Components:   Rubidium chloride / CAS No. 7791-11-9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8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8/9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