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Rubidium-85 SDS</w:t>
      </w:r>
    </w:p>
    <w:p>
      <w:r>
        <w:t xml:space="preserve">Publisher: Neonest AB</w:t>
      </w:r>
    </w:p>
    <w:p>
      <w:r>
        <w:t xml:space="preserve">Source: https://resds.com/document/rubidium-85-isotope-sds-rb-85-85rb-rubidium-enriched-rubidium-b7a56951b2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Rubidium (100%), Enriched Rubidium. </w:t>
      </w:r>
    </w:p>
    <w:p>
      <w:r>
        <w:t xml:space="preserve">Molecular weight:   85.47 </w:t>
      </w:r>
    </w:p>
    <w:p>
      <w:r>
        <w:t xml:space="preserve">Chemical formula:   Rb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2/9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Rubidium </w:t>
      </w:r>
    </w:p>
    <w:p>
      <w:r>
        <w:t xml:space="preserve">7440-17-7 </w:t>
      </w:r>
    </w:p>
    <w:p>
      <w:r>
        <w:t xml:space="preserve">85.47   &gt;99%   Water-react. 1   H260</w:t>
      </w:r>
    </w:p>
    <w:p>
      <w:r>
        <w:t xml:space="preserve">Skin Corr. 1B   H314 231-126-6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Supply fresh air. If required, provide artificially.</w:t>
      </w:r>
    </w:p>
    <w:p>
      <w:r>
        <w:t xml:space="preserve">Seek immediate medical advice! </w:t>
      </w:r>
    </w:p>
    <w:p>
      <w:r>
        <w:t xml:space="preserve">In case of skin contact:   Immediately wash with water and soap and rinse thoroughly. Get medical attention. </w:t>
      </w:r>
    </w:p>
    <w:p>
      <w:r>
        <w:t xml:space="preserve">In case of eye contact:   Rinse opened eye for several minutes under running water. Seek medical attention. </w:t>
      </w:r>
    </w:p>
    <w:p>
      <w:r>
        <w:t xml:space="preserve">In case of ingestion:   Seek medical attention immediately! Keep the victim calm. Give the victim water (only if</w:t>
      </w:r>
    </w:p>
    <w:p>
      <w:r>
        <w:t xml:space="preserve">conscious). Induce vomiting only if directed by medical personnel. </w:t>
      </w:r>
    </w:p>
    <w:p>
      <w:r>
        <w:t xml:space="preserve">Most important symptoms and effects, both acute and delayed: </w:t>
      </w:r>
    </w:p>
    <w:p>
      <w:r>
        <w:t xml:space="preserve">Eyes:   Severe thermal burns, corrosion and ulceration of the eyes may occur on direct contact. </w:t>
      </w:r>
    </w:p>
    <w:p>
      <w:r>
        <w:t xml:space="preserve">Skin contact:   Severe thermal burns, corrosion and ulceration of the skin may occur on direct contact.</w:t>
      </w:r>
    </w:p>
    <w:p>
      <w:r>
        <w:rPr>
          <w:b/>
        </w:rPr>
        <w:t xml:space="preserve">Page 3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3/9 </w:t>
      </w:r>
    </w:p>
    <w:p>
      <w:r>
        <w:t xml:space="preserve">Ingestion:   Ingestion will cause burns and perforations of the gastrointestinal tract.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 ighting Measures </w:t>
      </w:r>
    </w:p>
    <w:p>
      <w:r>
        <w:t xml:space="preserve">Extinguisher media: </w:t>
      </w:r>
    </w:p>
    <w:p>
      <w:r>
        <w:t xml:space="preserve">Suitable extinguisher media:   DO NOT USE WATER. Use Class D metal fire agent, dry salt or sand. </w:t>
      </w:r>
    </w:p>
    <w:p>
      <w:r>
        <w:t xml:space="preserve">Unsuitable extinguishing media:   Water, carbon dioxide &amp; halogenated extinguisher. Contact with water releases</w:t>
      </w:r>
    </w:p>
    <w:p>
      <w:r>
        <w:t xml:space="preserve">explosive hydrogen. Burning material may release toxic fumes. </w:t>
      </w:r>
    </w:p>
    <w:p>
      <w:r>
        <w:t xml:space="preserve">Special hazards arising from the mixture:   Material may ignite spontaneously on contact with air. </w:t>
      </w:r>
    </w:p>
    <w:p>
      <w:r>
        <w:t xml:space="preserve">Advice for fire-fighters:   As in any fire, wear a self-contained breathing apparatus in pressure demand, MSHA/NIOSH</w:t>
      </w:r>
    </w:p>
    <w:p>
      <w:r>
        <w:t xml:space="preserve">(approved or equivalent), and full protective gear. During a fire, irritating and highly toxic gases may be generated by </w:t>
      </w:r>
    </w:p>
    <w:p>
      <w:r>
        <w:t xml:space="preserve">thermal decomposition or combustion. Runoff from fire control or dilution water may cause pollution. </w:t>
      </w:r>
    </w:p>
    <w:p>
      <w:r>
        <w:t xml:space="preserve">Further information:   None.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 as indicated in Section 8. Keep unprotected persons away. Ensure</w:t>
      </w:r>
    </w:p>
    <w:p>
      <w:r>
        <w:t xml:space="preserve">adequate ventilation. Keep away from ignition sources.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mechanically. Dispose of contaminated material as waste according to Section 13.</w:t>
      </w:r>
    </w:p>
    <w:p>
      <w:r>
        <w:t xml:space="preserve">Clean up spills immediately, observing precautions in the Protective Equipment section. Provide ventilation. Do not</w:t>
      </w:r>
    </w:p>
    <w:p>
      <w:r>
        <w:t xml:space="preserve">flush with water or aqueous cleansing agents.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The material will react with air and moisture. Handle this material under an inert</w:t>
      </w:r>
    </w:p>
    <w:p>
      <w:r>
        <w:t xml:space="preserve">atmosphere of nitrogen or argon. Ensure good ventilation at the workplace. Keep container tightly sealed.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Keep container</w:t>
      </w:r>
    </w:p>
    <w:p>
      <w:r>
        <w:t xml:space="preserve">tightly sealed. Store away from water/moisture. Store away from oxidizing agents. Do not store together with acids.</w:t>
      </w:r>
    </w:p>
    <w:p>
      <w:r>
        <w:t xml:space="preserve">Store away from halogens. Store this material under an inert atmosphere of nitrogen or argon.</w:t>
      </w:r>
    </w:p>
    <w:p>
      <w:r>
        <w:rPr>
          <w:b/>
        </w:rPr>
        <w:t xml:space="preserve">Page 4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Properly operating chemical fume hood designed for hazardous chemicals and</w:t>
      </w:r>
    </w:p>
    <w:p>
      <w:r>
        <w:t xml:space="preserve">having an average face velocity of at least 100 feet per minute.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glasses, tightly sealed goggles, full face protection. </w:t>
      </w:r>
    </w:p>
    <w:p>
      <w:r>
        <w:t xml:space="preserve">Hand protection:   Impervious gloves.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Use NIOSH/MSHA-approved respirator when high concentrations are present.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85.47 </w:t>
      </w:r>
    </w:p>
    <w:p>
      <w:r>
        <w:t xml:space="preserve">pH (concentration):   No data available. </w:t>
      </w:r>
    </w:p>
    <w:p>
      <w:r>
        <w:t xml:space="preserve">Melting point/range (° C):   38.9   ° C </w:t>
      </w:r>
    </w:p>
    <w:p>
      <w:r>
        <w:t xml:space="preserve">Boiling point/range (° C):   688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1.532 g/cc </w:t>
      </w:r>
    </w:p>
    <w:p>
      <w:r>
        <w:t xml:space="preserve">Water solubility (g/L ) at 20 ° C:   Reacts violently.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 lity and Reactivity </w:t>
      </w:r>
    </w:p>
    <w:p>
      <w:r>
        <w:t xml:space="preserve">Reactivity:   No dangerous reaction known under conditions of normal use.</w:t>
      </w:r>
    </w:p>
    <w:p>
      <w:r>
        <w:rPr>
          <w:b/>
        </w:rPr>
        <w:t xml:space="preserve">Page 5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5/9 </w:t>
      </w:r>
    </w:p>
    <w:p>
      <w:r>
        <w:t xml:space="preserve">Chemical stability:   Moisture sensitive, pyrophoric.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Water/moisture, air . </w:t>
      </w:r>
    </w:p>
    <w:p>
      <w:r>
        <w:t xml:space="preserve">Incompatible materials:   O xidizing agents, alcohols, acids, halogens ,   carbon dioxide . </w:t>
      </w:r>
    </w:p>
    <w:p>
      <w:r>
        <w:t xml:space="preserve">Hazardous decomposition products:   Flammable hydrogen with moisture, caustic oxide with air. Decomposition will</w:t>
      </w:r>
    </w:p>
    <w:p>
      <w:r>
        <w:t xml:space="preserve">not occur if used and stored according to specifications.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LD 50   Intraperitoneal (mouse) 1,200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severe skin burns and eye damage.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 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Parts 261.3. Additionally,</w:t>
      </w:r>
    </w:p>
    <w:p>
      <w:r>
        <w:t xml:space="preserve">waste generators must consult local or national regulations to ensure proper disposal.</w:t>
      </w:r>
    </w:p>
    <w:p>
      <w:r>
        <w:rPr>
          <w:b/>
        </w:rPr>
        <w:t xml:space="preserve">Page 6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RUBIDIUM. </w:t>
      </w:r>
    </w:p>
    <w:p>
      <w:r>
        <w:t xml:space="preserve">Hazard Class : 4.3 </w:t>
      </w:r>
    </w:p>
    <w:p>
      <w:r>
        <w:t xml:space="preserve">UN Number:   1423 </w:t>
      </w:r>
    </w:p>
    <w:p>
      <w:r>
        <w:t xml:space="preserve">Packing Group:   I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7/9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Rubidium / CAS No. 7440-17-7 / Revision Date 2007-03-01 </w:t>
      </w:r>
    </w:p>
    <w:p>
      <w:r>
        <w:t xml:space="preserve">New Jersey Right To Know Components:   Rubidium / CAS No. 7440-17-7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  Information </w:t>
      </w:r>
    </w:p>
    <w:p>
      <w:r>
        <w:t xml:space="preserve">List of abbreviations:</w:t>
      </w:r>
    </w:p>
    <w:p>
      <w:r>
        <w:rPr>
          <w:b/>
        </w:rPr>
        <w:t xml:space="preserve">Page 8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8/9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Rubidium,</w:t>
      </w:r>
    </w:p>
    <w:p>
      <w:r>
        <w:t xml:space="preserve">Enriched Rubidium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Rubidium (100%), Enriched Rubidium   https://www.buyisotope.com   Page 9/9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